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ED8" w:rsidRPr="001A74D9" w:rsidRDefault="00456ED8" w:rsidP="00456ED8">
      <w:pPr>
        <w:spacing w:line="480" w:lineRule="auto"/>
        <w:jc w:val="center"/>
        <w:rPr>
          <w:rFonts w:ascii="Verdana" w:hAnsi="Verdana"/>
          <w:sz w:val="26"/>
          <w:szCs w:val="26"/>
        </w:rPr>
      </w:pPr>
    </w:p>
    <w:p w:rsidR="00456ED8" w:rsidRPr="001A74D9" w:rsidRDefault="00456ED8" w:rsidP="00456ED8">
      <w:pPr>
        <w:spacing w:line="480" w:lineRule="auto"/>
        <w:jc w:val="center"/>
        <w:rPr>
          <w:rFonts w:ascii="Verdana" w:hAnsi="Verdana"/>
          <w:sz w:val="26"/>
          <w:szCs w:val="26"/>
        </w:rPr>
      </w:pPr>
      <w:r w:rsidRPr="001A74D9">
        <w:rPr>
          <w:rFonts w:ascii="Verdana" w:hAnsi="Verdana"/>
          <w:sz w:val="26"/>
          <w:szCs w:val="26"/>
        </w:rPr>
        <w:t xml:space="preserve">Intervento </w:t>
      </w:r>
    </w:p>
    <w:p w:rsidR="00456ED8" w:rsidRPr="001A74D9" w:rsidRDefault="00456ED8" w:rsidP="00456ED8">
      <w:pPr>
        <w:spacing w:line="480" w:lineRule="auto"/>
        <w:jc w:val="center"/>
        <w:rPr>
          <w:rFonts w:ascii="Verdana" w:hAnsi="Verdana"/>
          <w:sz w:val="26"/>
          <w:szCs w:val="26"/>
        </w:rPr>
      </w:pPr>
      <w:r w:rsidRPr="001A74D9">
        <w:rPr>
          <w:rFonts w:ascii="Verdana" w:hAnsi="Verdana"/>
          <w:sz w:val="26"/>
          <w:szCs w:val="26"/>
        </w:rPr>
        <w:t>del Presidente Corrado Calabrò</w:t>
      </w:r>
    </w:p>
    <w:p w:rsidR="00456ED8" w:rsidRPr="001A74D9" w:rsidRDefault="00456ED8" w:rsidP="00456ED8">
      <w:pPr>
        <w:spacing w:line="480" w:lineRule="auto"/>
        <w:jc w:val="center"/>
        <w:rPr>
          <w:rFonts w:ascii="Verdana" w:hAnsi="Verdana"/>
          <w:sz w:val="26"/>
          <w:szCs w:val="26"/>
        </w:rPr>
      </w:pPr>
    </w:p>
    <w:p w:rsidR="00456ED8" w:rsidRPr="001A74D9" w:rsidRDefault="00456ED8" w:rsidP="00456ED8">
      <w:pPr>
        <w:spacing w:line="480" w:lineRule="auto"/>
        <w:jc w:val="center"/>
        <w:rPr>
          <w:rFonts w:ascii="Verdana" w:hAnsi="Verdana"/>
          <w:sz w:val="26"/>
          <w:szCs w:val="26"/>
        </w:rPr>
      </w:pPr>
    </w:p>
    <w:p w:rsidR="00456ED8" w:rsidRPr="001A74D9" w:rsidRDefault="00456ED8" w:rsidP="00456ED8">
      <w:pPr>
        <w:spacing w:line="480" w:lineRule="auto"/>
        <w:jc w:val="center"/>
        <w:rPr>
          <w:rFonts w:ascii="Verdana" w:hAnsi="Verdana"/>
          <w:sz w:val="26"/>
          <w:szCs w:val="26"/>
        </w:rPr>
      </w:pPr>
      <w:r w:rsidRPr="001A74D9">
        <w:rPr>
          <w:rFonts w:ascii="Verdana" w:hAnsi="Verdana"/>
          <w:sz w:val="26"/>
          <w:szCs w:val="26"/>
        </w:rPr>
        <w:t xml:space="preserve">alla relazione dell’Organo di vigilanza di </w:t>
      </w:r>
      <w:r w:rsidRPr="001A74D9">
        <w:rPr>
          <w:rFonts w:ascii="Verdana" w:hAnsi="Verdana"/>
          <w:i/>
          <w:sz w:val="26"/>
          <w:szCs w:val="26"/>
        </w:rPr>
        <w:t>Open access</w:t>
      </w:r>
    </w:p>
    <w:p w:rsidR="00456ED8" w:rsidRPr="001A74D9" w:rsidRDefault="00456ED8" w:rsidP="00456ED8">
      <w:pPr>
        <w:spacing w:line="480" w:lineRule="auto"/>
        <w:jc w:val="center"/>
        <w:rPr>
          <w:rFonts w:ascii="Verdana" w:hAnsi="Verdana"/>
          <w:sz w:val="26"/>
          <w:szCs w:val="26"/>
        </w:rPr>
      </w:pPr>
      <w:r w:rsidRPr="001A74D9">
        <w:rPr>
          <w:rFonts w:ascii="Verdana" w:hAnsi="Verdana"/>
          <w:sz w:val="26"/>
          <w:szCs w:val="26"/>
        </w:rPr>
        <w:t>(Prof. Giulio Napolitano)</w:t>
      </w:r>
    </w:p>
    <w:p w:rsidR="00456ED8" w:rsidRPr="001A74D9" w:rsidRDefault="00456ED8" w:rsidP="00456ED8">
      <w:pPr>
        <w:spacing w:line="480" w:lineRule="auto"/>
        <w:jc w:val="center"/>
        <w:rPr>
          <w:rFonts w:ascii="Verdana" w:hAnsi="Verdana"/>
          <w:sz w:val="26"/>
          <w:szCs w:val="26"/>
        </w:rPr>
      </w:pPr>
    </w:p>
    <w:p w:rsidR="00456ED8" w:rsidRPr="001A74D9" w:rsidRDefault="00456ED8" w:rsidP="00456ED8">
      <w:pPr>
        <w:spacing w:line="480" w:lineRule="auto"/>
        <w:jc w:val="center"/>
        <w:rPr>
          <w:rFonts w:ascii="Verdana" w:hAnsi="Verdana"/>
          <w:sz w:val="26"/>
          <w:szCs w:val="26"/>
        </w:rPr>
      </w:pPr>
      <w:r w:rsidRPr="001A74D9">
        <w:rPr>
          <w:rFonts w:ascii="Verdana" w:hAnsi="Verdana"/>
          <w:sz w:val="26"/>
          <w:szCs w:val="26"/>
        </w:rPr>
        <w:t>“Governance della rete e Agenda digitale”</w:t>
      </w:r>
    </w:p>
    <w:p w:rsidR="00456ED8" w:rsidRPr="001A74D9" w:rsidRDefault="00456ED8" w:rsidP="00456ED8">
      <w:pPr>
        <w:spacing w:line="480" w:lineRule="auto"/>
        <w:jc w:val="center"/>
        <w:rPr>
          <w:rFonts w:ascii="Verdana" w:hAnsi="Verdana"/>
          <w:sz w:val="26"/>
          <w:szCs w:val="26"/>
        </w:rPr>
      </w:pPr>
    </w:p>
    <w:p w:rsidR="00456ED8" w:rsidRPr="001A74D9" w:rsidRDefault="00456ED8" w:rsidP="00456ED8">
      <w:pPr>
        <w:spacing w:line="480" w:lineRule="auto"/>
        <w:jc w:val="center"/>
        <w:rPr>
          <w:rFonts w:ascii="Verdana" w:hAnsi="Verdana"/>
          <w:sz w:val="26"/>
          <w:szCs w:val="26"/>
        </w:rPr>
      </w:pPr>
    </w:p>
    <w:p w:rsidR="00456ED8" w:rsidRPr="001A74D9" w:rsidRDefault="00456ED8" w:rsidP="00456ED8">
      <w:pPr>
        <w:spacing w:line="480" w:lineRule="auto"/>
        <w:jc w:val="center"/>
        <w:rPr>
          <w:rFonts w:ascii="Verdana" w:hAnsi="Verdana"/>
          <w:sz w:val="26"/>
          <w:szCs w:val="26"/>
        </w:rPr>
      </w:pPr>
    </w:p>
    <w:p w:rsidR="00456ED8" w:rsidRPr="001A74D9" w:rsidRDefault="00456ED8" w:rsidP="00456ED8">
      <w:pPr>
        <w:spacing w:line="480" w:lineRule="auto"/>
        <w:jc w:val="center"/>
        <w:rPr>
          <w:rFonts w:ascii="Verdana" w:hAnsi="Verdana"/>
          <w:sz w:val="26"/>
          <w:szCs w:val="26"/>
        </w:rPr>
      </w:pPr>
    </w:p>
    <w:p w:rsidR="00456ED8" w:rsidRPr="001A74D9" w:rsidRDefault="00456ED8" w:rsidP="00456ED8">
      <w:pPr>
        <w:spacing w:line="480" w:lineRule="auto"/>
        <w:jc w:val="center"/>
        <w:rPr>
          <w:rFonts w:ascii="Verdana" w:hAnsi="Verdana"/>
          <w:sz w:val="26"/>
          <w:szCs w:val="26"/>
        </w:rPr>
      </w:pPr>
      <w:r w:rsidRPr="001A74D9">
        <w:rPr>
          <w:rFonts w:ascii="Verdana" w:hAnsi="Verdana"/>
          <w:sz w:val="26"/>
          <w:szCs w:val="26"/>
        </w:rPr>
        <w:t>Martedì 20 marzo 2012</w:t>
      </w:r>
    </w:p>
    <w:p w:rsidR="00456ED8" w:rsidRPr="001A74D9" w:rsidRDefault="00456ED8" w:rsidP="00456ED8">
      <w:pPr>
        <w:spacing w:line="480" w:lineRule="auto"/>
        <w:jc w:val="center"/>
        <w:rPr>
          <w:rFonts w:ascii="Verdana" w:hAnsi="Verdana"/>
          <w:sz w:val="26"/>
          <w:szCs w:val="26"/>
        </w:rPr>
      </w:pPr>
      <w:r w:rsidRPr="001A74D9">
        <w:rPr>
          <w:rFonts w:ascii="Verdana" w:hAnsi="Verdana"/>
          <w:sz w:val="26"/>
          <w:szCs w:val="26"/>
        </w:rPr>
        <w:t>Ore 1</w:t>
      </w:r>
      <w:r w:rsidR="001E0762" w:rsidRPr="001A74D9">
        <w:rPr>
          <w:rFonts w:ascii="Verdana" w:hAnsi="Verdana"/>
          <w:sz w:val="26"/>
          <w:szCs w:val="26"/>
        </w:rPr>
        <w:t>1</w:t>
      </w:r>
    </w:p>
    <w:p w:rsidR="001E0762" w:rsidRPr="001A74D9" w:rsidRDefault="001E0762" w:rsidP="00456ED8">
      <w:pPr>
        <w:spacing w:line="480" w:lineRule="auto"/>
        <w:jc w:val="center"/>
        <w:rPr>
          <w:rFonts w:ascii="Verdana" w:hAnsi="Verdana"/>
          <w:sz w:val="26"/>
          <w:szCs w:val="26"/>
        </w:rPr>
      </w:pPr>
      <w:r w:rsidRPr="001A74D9">
        <w:rPr>
          <w:rFonts w:ascii="Verdana" w:hAnsi="Verdana"/>
          <w:sz w:val="26"/>
          <w:szCs w:val="26"/>
        </w:rPr>
        <w:t>Palazzo Barberini</w:t>
      </w:r>
    </w:p>
    <w:p w:rsidR="008E79EE" w:rsidRPr="001A74D9" w:rsidRDefault="00456ED8" w:rsidP="001A74D9">
      <w:pPr>
        <w:spacing w:line="360" w:lineRule="auto"/>
        <w:jc w:val="both"/>
        <w:rPr>
          <w:rFonts w:ascii="Verdana" w:hAnsi="Verdana"/>
          <w:sz w:val="26"/>
          <w:szCs w:val="26"/>
        </w:rPr>
      </w:pPr>
      <w:r w:rsidRPr="001A74D9">
        <w:rPr>
          <w:rFonts w:ascii="Verdana" w:hAnsi="Verdana"/>
          <w:sz w:val="26"/>
          <w:szCs w:val="26"/>
        </w:rPr>
        <w:br w:type="page"/>
      </w:r>
      <w:r w:rsidRPr="001A74D9">
        <w:rPr>
          <w:rFonts w:ascii="Verdana" w:hAnsi="Verdana"/>
          <w:sz w:val="26"/>
          <w:szCs w:val="26"/>
        </w:rPr>
        <w:lastRenderedPageBreak/>
        <w:t xml:space="preserve">Dopo quattro anni possiamo prendere atto che la complessa impalcatura degli impegni di </w:t>
      </w:r>
      <w:r w:rsidRPr="001A74D9">
        <w:rPr>
          <w:rFonts w:ascii="Verdana" w:hAnsi="Verdana"/>
          <w:i/>
          <w:sz w:val="26"/>
          <w:szCs w:val="26"/>
        </w:rPr>
        <w:t>Open access</w:t>
      </w:r>
      <w:r w:rsidRPr="001A74D9">
        <w:rPr>
          <w:rFonts w:ascii="Verdana" w:hAnsi="Verdana"/>
          <w:sz w:val="26"/>
          <w:szCs w:val="26"/>
        </w:rPr>
        <w:t xml:space="preserve"> è stata finalmente riconosciuta come rientrante </w:t>
      </w:r>
      <w:r w:rsidR="00B34013" w:rsidRPr="001A74D9">
        <w:rPr>
          <w:rFonts w:ascii="Verdana" w:hAnsi="Verdana"/>
          <w:sz w:val="26"/>
          <w:szCs w:val="26"/>
        </w:rPr>
        <w:t xml:space="preserve">a pieno titolo </w:t>
      </w:r>
      <w:r w:rsidRPr="001A74D9">
        <w:rPr>
          <w:rFonts w:ascii="Verdana" w:hAnsi="Verdana"/>
          <w:sz w:val="26"/>
          <w:szCs w:val="26"/>
        </w:rPr>
        <w:t>nell’ortodossia dei modelli di separazione per la parità di trattamento, e che</w:t>
      </w:r>
      <w:r w:rsidR="008E32B4" w:rsidRPr="001A74D9">
        <w:rPr>
          <w:rFonts w:ascii="Verdana" w:hAnsi="Verdana"/>
          <w:sz w:val="26"/>
          <w:szCs w:val="26"/>
        </w:rPr>
        <w:t xml:space="preserve"> -</w:t>
      </w:r>
      <w:r w:rsidRPr="001A74D9">
        <w:rPr>
          <w:rFonts w:ascii="Verdana" w:hAnsi="Verdana"/>
          <w:sz w:val="26"/>
          <w:szCs w:val="26"/>
        </w:rPr>
        <w:t xml:space="preserve"> cosa più rilevante</w:t>
      </w:r>
      <w:r w:rsidR="008E32B4" w:rsidRPr="001A74D9">
        <w:rPr>
          <w:rFonts w:ascii="Verdana" w:hAnsi="Verdana"/>
          <w:sz w:val="26"/>
          <w:szCs w:val="26"/>
        </w:rPr>
        <w:t xml:space="preserve"> -</w:t>
      </w:r>
      <w:r w:rsidRPr="001A74D9">
        <w:rPr>
          <w:rFonts w:ascii="Verdana" w:hAnsi="Verdana"/>
          <w:sz w:val="26"/>
          <w:szCs w:val="26"/>
        </w:rPr>
        <w:t xml:space="preserve"> sta dando i frutti attesi.</w:t>
      </w:r>
    </w:p>
    <w:p w:rsidR="00456ED8" w:rsidRPr="001A74D9" w:rsidRDefault="00456ED8" w:rsidP="001A74D9">
      <w:pPr>
        <w:spacing w:after="0" w:line="360" w:lineRule="auto"/>
        <w:jc w:val="both"/>
        <w:rPr>
          <w:rFonts w:ascii="Verdana" w:hAnsi="Verdana"/>
          <w:sz w:val="26"/>
          <w:szCs w:val="26"/>
        </w:rPr>
      </w:pPr>
      <w:r w:rsidRPr="001A74D9">
        <w:rPr>
          <w:rFonts w:ascii="Verdana" w:hAnsi="Verdana"/>
          <w:sz w:val="26"/>
          <w:szCs w:val="26"/>
        </w:rPr>
        <w:t>Il presidente</w:t>
      </w:r>
      <w:r w:rsidR="008E32B4" w:rsidRPr="001A74D9">
        <w:rPr>
          <w:rFonts w:ascii="Verdana" w:hAnsi="Verdana"/>
          <w:sz w:val="26"/>
          <w:szCs w:val="26"/>
        </w:rPr>
        <w:t xml:space="preserve"> Giulio</w:t>
      </w:r>
      <w:r w:rsidRPr="001A74D9">
        <w:rPr>
          <w:rFonts w:ascii="Verdana" w:hAnsi="Verdana"/>
          <w:sz w:val="26"/>
          <w:szCs w:val="26"/>
        </w:rPr>
        <w:t xml:space="preserve"> Napolitano ha già riferito dei risultati ottenuti. </w:t>
      </w:r>
      <w:r w:rsidR="00D91F01" w:rsidRPr="001A74D9">
        <w:rPr>
          <w:rFonts w:ascii="Verdana" w:hAnsi="Verdana"/>
          <w:sz w:val="26"/>
          <w:szCs w:val="26"/>
        </w:rPr>
        <w:t xml:space="preserve">Alle sue parole </w:t>
      </w:r>
      <w:r w:rsidR="00D570F5" w:rsidRPr="001A74D9">
        <w:rPr>
          <w:rFonts w:ascii="Verdana" w:hAnsi="Verdana"/>
          <w:sz w:val="26"/>
          <w:szCs w:val="26"/>
        </w:rPr>
        <w:t xml:space="preserve">di apprezzamento e </w:t>
      </w:r>
      <w:r w:rsidR="008E32B4" w:rsidRPr="001A74D9">
        <w:rPr>
          <w:rFonts w:ascii="Verdana" w:hAnsi="Verdana"/>
          <w:sz w:val="26"/>
          <w:szCs w:val="26"/>
        </w:rPr>
        <w:t xml:space="preserve">di </w:t>
      </w:r>
      <w:r w:rsidR="00D570F5" w:rsidRPr="001A74D9">
        <w:rPr>
          <w:rFonts w:ascii="Verdana" w:hAnsi="Verdana"/>
          <w:sz w:val="26"/>
          <w:szCs w:val="26"/>
        </w:rPr>
        <w:t xml:space="preserve">sintonia </w:t>
      </w:r>
      <w:r w:rsidR="00D91F01" w:rsidRPr="001A74D9">
        <w:rPr>
          <w:rFonts w:ascii="Verdana" w:hAnsi="Verdana"/>
          <w:sz w:val="26"/>
          <w:szCs w:val="26"/>
        </w:rPr>
        <w:t xml:space="preserve">nei confronti dell’AGCOM non posso non </w:t>
      </w:r>
      <w:r w:rsidR="008E32B4" w:rsidRPr="001A74D9">
        <w:rPr>
          <w:rFonts w:ascii="Verdana" w:hAnsi="Verdana"/>
          <w:sz w:val="26"/>
          <w:szCs w:val="26"/>
        </w:rPr>
        <w:t>corrispondere sottolineando a mia volta</w:t>
      </w:r>
      <w:r w:rsidR="00D91F01" w:rsidRPr="001A74D9">
        <w:rPr>
          <w:rFonts w:ascii="Verdana" w:hAnsi="Verdana"/>
          <w:sz w:val="26"/>
          <w:szCs w:val="26"/>
        </w:rPr>
        <w:t xml:space="preserve"> c</w:t>
      </w:r>
      <w:r w:rsidR="00AF0AEC" w:rsidRPr="001A74D9">
        <w:rPr>
          <w:rFonts w:ascii="Verdana" w:hAnsi="Verdana"/>
          <w:sz w:val="26"/>
          <w:szCs w:val="26"/>
        </w:rPr>
        <w:t xml:space="preserve">he </w:t>
      </w:r>
      <w:r w:rsidR="00D91F01" w:rsidRPr="001A74D9">
        <w:rPr>
          <w:rFonts w:ascii="Verdana" w:hAnsi="Verdana"/>
          <w:sz w:val="26"/>
          <w:szCs w:val="26"/>
        </w:rPr>
        <w:t xml:space="preserve">l’interazione con il Board </w:t>
      </w:r>
      <w:r w:rsidR="00AF0AEC" w:rsidRPr="001A74D9">
        <w:rPr>
          <w:rFonts w:ascii="Verdana" w:hAnsi="Verdana"/>
          <w:sz w:val="26"/>
          <w:szCs w:val="26"/>
        </w:rPr>
        <w:t>è</w:t>
      </w:r>
      <w:r w:rsidR="00D91F01" w:rsidRPr="001A74D9">
        <w:rPr>
          <w:rFonts w:ascii="Verdana" w:hAnsi="Verdana"/>
          <w:sz w:val="26"/>
          <w:szCs w:val="26"/>
        </w:rPr>
        <w:t xml:space="preserve"> stata sempre </w:t>
      </w:r>
      <w:r w:rsidR="00D570F5" w:rsidRPr="001A74D9">
        <w:rPr>
          <w:rFonts w:ascii="Verdana" w:hAnsi="Verdana"/>
          <w:sz w:val="26"/>
          <w:szCs w:val="26"/>
        </w:rPr>
        <w:t>collaborativa</w:t>
      </w:r>
      <w:r w:rsidR="00AF0AEC" w:rsidRPr="001A74D9">
        <w:rPr>
          <w:rFonts w:ascii="Verdana" w:hAnsi="Verdana"/>
          <w:sz w:val="26"/>
          <w:szCs w:val="26"/>
        </w:rPr>
        <w:t>,</w:t>
      </w:r>
      <w:r w:rsidR="00D91F01" w:rsidRPr="001A74D9">
        <w:rPr>
          <w:rFonts w:ascii="Verdana" w:hAnsi="Verdana"/>
          <w:sz w:val="26"/>
          <w:szCs w:val="26"/>
        </w:rPr>
        <w:t xml:space="preserve"> </w:t>
      </w:r>
      <w:r w:rsidR="00D570F5" w:rsidRPr="001A74D9">
        <w:rPr>
          <w:rFonts w:ascii="Verdana" w:hAnsi="Verdana"/>
          <w:sz w:val="26"/>
          <w:szCs w:val="26"/>
        </w:rPr>
        <w:t xml:space="preserve">proficua </w:t>
      </w:r>
      <w:r w:rsidR="00C66472" w:rsidRPr="001A74D9">
        <w:rPr>
          <w:rFonts w:ascii="Verdana" w:hAnsi="Verdana"/>
          <w:sz w:val="26"/>
          <w:szCs w:val="26"/>
        </w:rPr>
        <w:t>e</w:t>
      </w:r>
      <w:r w:rsidR="00AF0AEC" w:rsidRPr="001A74D9">
        <w:rPr>
          <w:rFonts w:ascii="Verdana" w:hAnsi="Verdana"/>
          <w:sz w:val="26"/>
          <w:szCs w:val="26"/>
        </w:rPr>
        <w:t xml:space="preserve"> imperniata </w:t>
      </w:r>
      <w:r w:rsidR="00C66472" w:rsidRPr="001A74D9">
        <w:rPr>
          <w:rFonts w:ascii="Verdana" w:hAnsi="Verdana"/>
          <w:sz w:val="26"/>
          <w:szCs w:val="26"/>
        </w:rPr>
        <w:t>su</w:t>
      </w:r>
      <w:r w:rsidR="00AF0AEC" w:rsidRPr="001A74D9">
        <w:rPr>
          <w:rFonts w:ascii="Verdana" w:hAnsi="Verdana"/>
          <w:sz w:val="26"/>
          <w:szCs w:val="26"/>
        </w:rPr>
        <w:t xml:space="preserve">lla </w:t>
      </w:r>
      <w:r w:rsidR="00C66472" w:rsidRPr="001A74D9">
        <w:rPr>
          <w:rFonts w:ascii="Verdana" w:hAnsi="Verdana"/>
          <w:sz w:val="26"/>
          <w:szCs w:val="26"/>
        </w:rPr>
        <w:t>correttezza reciproca</w:t>
      </w:r>
      <w:r w:rsidR="00D91F01" w:rsidRPr="001A74D9">
        <w:rPr>
          <w:rFonts w:ascii="Verdana" w:hAnsi="Verdana"/>
          <w:sz w:val="26"/>
          <w:szCs w:val="26"/>
        </w:rPr>
        <w:t>; un esempio</w:t>
      </w:r>
      <w:r w:rsidR="00C66472" w:rsidRPr="001A74D9">
        <w:rPr>
          <w:rFonts w:ascii="Verdana" w:hAnsi="Verdana"/>
          <w:sz w:val="26"/>
          <w:szCs w:val="26"/>
        </w:rPr>
        <w:t>,</w:t>
      </w:r>
      <w:r w:rsidR="00D91F01" w:rsidRPr="001A74D9">
        <w:rPr>
          <w:rFonts w:ascii="Verdana" w:hAnsi="Verdana"/>
          <w:sz w:val="26"/>
          <w:szCs w:val="26"/>
        </w:rPr>
        <w:t xml:space="preserve"> nel rapporto tra </w:t>
      </w:r>
      <w:r w:rsidR="008E32B4" w:rsidRPr="001A74D9">
        <w:rPr>
          <w:rFonts w:ascii="Verdana" w:hAnsi="Verdana"/>
          <w:sz w:val="26"/>
          <w:szCs w:val="26"/>
        </w:rPr>
        <w:t>organi</w:t>
      </w:r>
      <w:r w:rsidR="00D91F01" w:rsidRPr="001A74D9">
        <w:rPr>
          <w:rFonts w:ascii="Verdana" w:hAnsi="Verdana"/>
          <w:sz w:val="26"/>
          <w:szCs w:val="26"/>
        </w:rPr>
        <w:t xml:space="preserve"> la cui azione </w:t>
      </w:r>
      <w:r w:rsidR="00D570F5" w:rsidRPr="001A74D9">
        <w:rPr>
          <w:rFonts w:ascii="Verdana" w:hAnsi="Verdana"/>
          <w:sz w:val="26"/>
          <w:szCs w:val="26"/>
        </w:rPr>
        <w:t>sia</w:t>
      </w:r>
      <w:r w:rsidR="00D91F01" w:rsidRPr="001A74D9">
        <w:rPr>
          <w:rFonts w:ascii="Verdana" w:hAnsi="Verdana"/>
          <w:sz w:val="26"/>
          <w:szCs w:val="26"/>
        </w:rPr>
        <w:t xml:space="preserve"> complementare. </w:t>
      </w:r>
    </w:p>
    <w:p w:rsidR="00456ED8" w:rsidRPr="001A74D9" w:rsidRDefault="00456ED8" w:rsidP="001A74D9">
      <w:pPr>
        <w:spacing w:after="0" w:line="360" w:lineRule="auto"/>
        <w:jc w:val="both"/>
        <w:rPr>
          <w:rFonts w:ascii="Verdana" w:hAnsi="Verdana"/>
          <w:sz w:val="26"/>
          <w:szCs w:val="26"/>
        </w:rPr>
      </w:pPr>
      <w:r w:rsidRPr="001A74D9">
        <w:rPr>
          <w:rFonts w:ascii="Verdana" w:hAnsi="Verdana"/>
          <w:sz w:val="26"/>
          <w:szCs w:val="26"/>
        </w:rPr>
        <w:t xml:space="preserve">Mi fa piacere sottolineare </w:t>
      </w:r>
      <w:r w:rsidR="008E32B4" w:rsidRPr="001A74D9">
        <w:rPr>
          <w:rFonts w:ascii="Verdana" w:hAnsi="Verdana"/>
          <w:sz w:val="26"/>
          <w:szCs w:val="26"/>
        </w:rPr>
        <w:t>pure</w:t>
      </w:r>
      <w:r w:rsidR="00D570F5" w:rsidRPr="001A74D9">
        <w:rPr>
          <w:rFonts w:ascii="Verdana" w:hAnsi="Verdana"/>
          <w:sz w:val="26"/>
          <w:szCs w:val="26"/>
        </w:rPr>
        <w:t xml:space="preserve"> </w:t>
      </w:r>
      <w:r w:rsidRPr="001A74D9">
        <w:rPr>
          <w:rFonts w:ascii="Verdana" w:hAnsi="Verdana"/>
          <w:sz w:val="26"/>
          <w:szCs w:val="26"/>
        </w:rPr>
        <w:t>che alcuni risultati sono stati raggiunti non solo grazie agli sforzi dell’</w:t>
      </w:r>
      <w:r w:rsidRPr="001A74D9">
        <w:rPr>
          <w:rFonts w:ascii="Verdana" w:hAnsi="Verdana"/>
          <w:i/>
          <w:sz w:val="26"/>
          <w:szCs w:val="26"/>
        </w:rPr>
        <w:t>incumbent</w:t>
      </w:r>
      <w:r w:rsidRPr="001A74D9">
        <w:rPr>
          <w:rFonts w:ascii="Verdana" w:hAnsi="Verdana"/>
          <w:sz w:val="26"/>
          <w:szCs w:val="26"/>
        </w:rPr>
        <w:t xml:space="preserve"> ma anche con il concorso di tutti gli operatori</w:t>
      </w:r>
      <w:r w:rsidRPr="001A74D9">
        <w:rPr>
          <w:rStyle w:val="Rimandonotaapidipagina"/>
          <w:rFonts w:ascii="Verdana" w:hAnsi="Verdana"/>
          <w:sz w:val="26"/>
          <w:szCs w:val="26"/>
        </w:rPr>
        <w:footnoteReference w:id="1"/>
      </w:r>
      <w:r w:rsidRPr="001A74D9">
        <w:rPr>
          <w:rFonts w:ascii="Verdana" w:hAnsi="Verdana"/>
          <w:sz w:val="26"/>
          <w:szCs w:val="26"/>
        </w:rPr>
        <w:t xml:space="preserve">. Penso al nuovo processo di </w:t>
      </w:r>
      <w:r w:rsidRPr="001A74D9">
        <w:rPr>
          <w:rFonts w:ascii="Verdana" w:hAnsi="Verdana"/>
          <w:i/>
          <w:sz w:val="26"/>
          <w:szCs w:val="26"/>
        </w:rPr>
        <w:t>delivery</w:t>
      </w:r>
      <w:r w:rsidRPr="001A74D9">
        <w:rPr>
          <w:rFonts w:ascii="Verdana" w:hAnsi="Verdana"/>
          <w:sz w:val="26"/>
          <w:szCs w:val="26"/>
        </w:rPr>
        <w:t xml:space="preserve">, elemento cardine per una parità di trattamento efficace. Un risultato non da poco, considerato il livello di litigiosità, anche strumentale, degli anni passati. </w:t>
      </w:r>
    </w:p>
    <w:p w:rsidR="00456ED8" w:rsidRPr="001A74D9" w:rsidRDefault="00456ED8" w:rsidP="001A74D9">
      <w:pPr>
        <w:spacing w:after="0" w:line="360" w:lineRule="auto"/>
        <w:jc w:val="both"/>
        <w:rPr>
          <w:rFonts w:ascii="Verdana" w:hAnsi="Verdana"/>
          <w:sz w:val="26"/>
          <w:szCs w:val="26"/>
        </w:rPr>
      </w:pPr>
      <w:r w:rsidRPr="001A74D9">
        <w:rPr>
          <w:rFonts w:ascii="Verdana" w:hAnsi="Verdana"/>
          <w:sz w:val="26"/>
          <w:szCs w:val="26"/>
        </w:rPr>
        <w:t xml:space="preserve">In questo percorso, l’Organo di vigilanza ha svolto un </w:t>
      </w:r>
      <w:r w:rsidR="00BD0059" w:rsidRPr="001A74D9">
        <w:rPr>
          <w:rFonts w:ascii="Verdana" w:hAnsi="Verdana"/>
          <w:sz w:val="26"/>
          <w:szCs w:val="26"/>
        </w:rPr>
        <w:t>ruolo efficace, e ha consentito</w:t>
      </w:r>
      <w:r w:rsidRPr="001A74D9">
        <w:rPr>
          <w:rFonts w:ascii="Verdana" w:hAnsi="Verdana"/>
          <w:sz w:val="26"/>
          <w:szCs w:val="26"/>
        </w:rPr>
        <w:t xml:space="preserve"> </w:t>
      </w:r>
      <w:r w:rsidR="00D91F01" w:rsidRPr="001A74D9">
        <w:rPr>
          <w:rFonts w:ascii="Verdana" w:hAnsi="Verdana"/>
          <w:sz w:val="26"/>
          <w:szCs w:val="26"/>
        </w:rPr>
        <w:t>più di una volta</w:t>
      </w:r>
      <w:r w:rsidRPr="001A74D9">
        <w:rPr>
          <w:rFonts w:ascii="Verdana" w:hAnsi="Verdana"/>
          <w:sz w:val="26"/>
          <w:szCs w:val="26"/>
        </w:rPr>
        <w:t xml:space="preserve"> di predisporre strument</w:t>
      </w:r>
      <w:r w:rsidR="00D91F01" w:rsidRPr="001A74D9">
        <w:rPr>
          <w:rFonts w:ascii="Verdana" w:hAnsi="Verdana"/>
          <w:sz w:val="26"/>
          <w:szCs w:val="26"/>
        </w:rPr>
        <w:t>i</w:t>
      </w:r>
      <w:r w:rsidRPr="001A74D9">
        <w:rPr>
          <w:rFonts w:ascii="Verdana" w:hAnsi="Verdana"/>
          <w:sz w:val="26"/>
          <w:szCs w:val="26"/>
        </w:rPr>
        <w:t xml:space="preserve"> transitori migliorativ</w:t>
      </w:r>
      <w:r w:rsidR="00D91F01" w:rsidRPr="001A74D9">
        <w:rPr>
          <w:rFonts w:ascii="Verdana" w:hAnsi="Verdana"/>
          <w:sz w:val="26"/>
          <w:szCs w:val="26"/>
        </w:rPr>
        <w:t>i</w:t>
      </w:r>
      <w:r w:rsidRPr="001A74D9">
        <w:rPr>
          <w:rFonts w:ascii="Verdana" w:hAnsi="Verdana"/>
          <w:sz w:val="26"/>
          <w:szCs w:val="26"/>
        </w:rPr>
        <w:t xml:space="preserve"> per la gestione del cliente finale (c.d. SWAP)</w:t>
      </w:r>
      <w:r w:rsidRPr="001A74D9">
        <w:rPr>
          <w:rStyle w:val="Rimandonotaapidipagina"/>
          <w:rFonts w:ascii="Verdana" w:hAnsi="Verdana"/>
          <w:sz w:val="26"/>
          <w:szCs w:val="26"/>
        </w:rPr>
        <w:footnoteReference w:id="2"/>
      </w:r>
      <w:r w:rsidR="00D91F01" w:rsidRPr="001A74D9">
        <w:rPr>
          <w:rFonts w:ascii="Verdana" w:hAnsi="Verdana"/>
          <w:sz w:val="26"/>
          <w:szCs w:val="26"/>
        </w:rPr>
        <w:t xml:space="preserve"> o </w:t>
      </w:r>
      <w:r w:rsidR="008E32B4" w:rsidRPr="001A74D9">
        <w:rPr>
          <w:rFonts w:ascii="Verdana" w:hAnsi="Verdana"/>
          <w:sz w:val="26"/>
          <w:szCs w:val="26"/>
        </w:rPr>
        <w:t>di</w:t>
      </w:r>
      <w:r w:rsidR="00D91F01" w:rsidRPr="001A74D9">
        <w:rPr>
          <w:rFonts w:ascii="Verdana" w:hAnsi="Verdana"/>
          <w:sz w:val="26"/>
          <w:szCs w:val="26"/>
        </w:rPr>
        <w:t xml:space="preserve"> situazioni critiche (cd. semaforo)</w:t>
      </w:r>
      <w:r w:rsidRPr="001A74D9">
        <w:rPr>
          <w:rFonts w:ascii="Verdana" w:hAnsi="Verdana"/>
          <w:sz w:val="26"/>
          <w:szCs w:val="26"/>
        </w:rPr>
        <w:t xml:space="preserve">. </w:t>
      </w:r>
    </w:p>
    <w:p w:rsidR="00456ED8" w:rsidRPr="001A74D9" w:rsidRDefault="00456ED8" w:rsidP="001A74D9">
      <w:pPr>
        <w:spacing w:after="0" w:line="360" w:lineRule="auto"/>
        <w:jc w:val="both"/>
        <w:rPr>
          <w:rFonts w:ascii="Verdana" w:hAnsi="Verdana"/>
          <w:sz w:val="26"/>
          <w:szCs w:val="26"/>
        </w:rPr>
      </w:pPr>
      <w:r w:rsidRPr="001A74D9">
        <w:rPr>
          <w:rFonts w:ascii="Verdana" w:hAnsi="Verdana"/>
          <w:sz w:val="26"/>
          <w:szCs w:val="26"/>
        </w:rPr>
        <w:t xml:space="preserve">Quanto al sistema di monitoraggio delle </w:t>
      </w:r>
      <w:r w:rsidRPr="001A74D9">
        <w:rPr>
          <w:rFonts w:ascii="Verdana" w:hAnsi="Verdana"/>
          <w:i/>
          <w:sz w:val="26"/>
          <w:szCs w:val="26"/>
        </w:rPr>
        <w:t>performance</w:t>
      </w:r>
      <w:r w:rsidRPr="001A74D9">
        <w:rPr>
          <w:rFonts w:ascii="Verdana" w:hAnsi="Verdana"/>
          <w:sz w:val="26"/>
          <w:szCs w:val="26"/>
        </w:rPr>
        <w:t xml:space="preserve"> nella fornitura dei servizi</w:t>
      </w:r>
      <w:r w:rsidRPr="001A74D9">
        <w:rPr>
          <w:rStyle w:val="Rimandonotaapidipagina"/>
          <w:rFonts w:ascii="Verdana" w:hAnsi="Verdana"/>
          <w:sz w:val="26"/>
          <w:szCs w:val="26"/>
        </w:rPr>
        <w:footnoteReference w:id="3"/>
      </w:r>
      <w:r w:rsidRPr="001A74D9">
        <w:rPr>
          <w:rFonts w:ascii="Verdana" w:hAnsi="Verdana"/>
          <w:sz w:val="26"/>
          <w:szCs w:val="26"/>
        </w:rPr>
        <w:t xml:space="preserve"> – altro caposaldo del modello – esso è ora più solido ed efficace.</w:t>
      </w:r>
    </w:p>
    <w:p w:rsidR="00456ED8" w:rsidRPr="001A74D9" w:rsidRDefault="00456ED8" w:rsidP="001A74D9">
      <w:pPr>
        <w:spacing w:after="0" w:line="360" w:lineRule="auto"/>
        <w:jc w:val="both"/>
        <w:rPr>
          <w:rFonts w:ascii="Verdana" w:hAnsi="Verdana"/>
          <w:sz w:val="26"/>
          <w:szCs w:val="26"/>
        </w:rPr>
      </w:pPr>
      <w:r w:rsidRPr="001A74D9">
        <w:rPr>
          <w:rFonts w:ascii="Verdana" w:hAnsi="Verdana"/>
          <w:i/>
          <w:sz w:val="26"/>
          <w:szCs w:val="26"/>
        </w:rPr>
        <w:lastRenderedPageBreak/>
        <w:t>Open access</w:t>
      </w:r>
      <w:r w:rsidRPr="001A74D9">
        <w:rPr>
          <w:rFonts w:ascii="Verdana" w:hAnsi="Verdana"/>
          <w:sz w:val="26"/>
          <w:szCs w:val="26"/>
        </w:rPr>
        <w:t xml:space="preserve"> è un caso di azione amministrativa che nasce “eccezionale” e torna “normale” una volta che il perseguimento degli scopi prefissati sia divenuto la normalità</w:t>
      </w:r>
      <w:r w:rsidR="00A757DD" w:rsidRPr="001A74D9">
        <w:rPr>
          <w:rStyle w:val="Rimandonotaapidipagina"/>
          <w:rFonts w:ascii="Verdana" w:hAnsi="Verdana"/>
          <w:sz w:val="26"/>
          <w:szCs w:val="26"/>
        </w:rPr>
        <w:footnoteReference w:id="4"/>
      </w:r>
      <w:r w:rsidRPr="001A74D9">
        <w:rPr>
          <w:rFonts w:ascii="Verdana" w:hAnsi="Verdana"/>
          <w:sz w:val="26"/>
          <w:szCs w:val="26"/>
        </w:rPr>
        <w:t>.</w:t>
      </w:r>
    </w:p>
    <w:p w:rsidR="00456ED8" w:rsidRPr="001A74D9" w:rsidRDefault="00456ED8" w:rsidP="001A74D9">
      <w:pPr>
        <w:spacing w:after="0" w:line="360" w:lineRule="auto"/>
        <w:jc w:val="both"/>
        <w:rPr>
          <w:rFonts w:ascii="Verdana" w:hAnsi="Verdana"/>
          <w:sz w:val="26"/>
          <w:szCs w:val="26"/>
        </w:rPr>
      </w:pPr>
      <w:r w:rsidRPr="001A74D9">
        <w:rPr>
          <w:rFonts w:ascii="Verdana" w:hAnsi="Verdana"/>
          <w:sz w:val="26"/>
          <w:szCs w:val="26"/>
        </w:rPr>
        <w:t>Peraltro, tenuto conto che non è immediato che dall’ottemperanza di obblighi “</w:t>
      </w:r>
      <w:r w:rsidR="00B34013" w:rsidRPr="001A74D9">
        <w:rPr>
          <w:rFonts w:ascii="Verdana" w:hAnsi="Verdana"/>
          <w:sz w:val="26"/>
          <w:szCs w:val="26"/>
        </w:rPr>
        <w:t>di</w:t>
      </w:r>
      <w:r w:rsidRPr="001A74D9">
        <w:rPr>
          <w:rFonts w:ascii="Verdana" w:hAnsi="Verdana"/>
          <w:sz w:val="26"/>
          <w:szCs w:val="26"/>
        </w:rPr>
        <w:t xml:space="preserve"> fare” assunti dall’azienda scaturiscano automaticamente effetti tangibili per il mercato, proseguiremo con l’attività speciale di monitoraggio </w:t>
      </w:r>
      <w:r w:rsidR="00B34013" w:rsidRPr="001A74D9">
        <w:rPr>
          <w:rFonts w:ascii="Verdana" w:hAnsi="Verdana"/>
          <w:sz w:val="26"/>
          <w:szCs w:val="26"/>
        </w:rPr>
        <w:t>su</w:t>
      </w:r>
      <w:r w:rsidRPr="001A74D9">
        <w:rPr>
          <w:rFonts w:ascii="Verdana" w:hAnsi="Verdana"/>
          <w:sz w:val="26"/>
          <w:szCs w:val="26"/>
        </w:rPr>
        <w:t xml:space="preserve">ll’efficacia </w:t>
      </w:r>
      <w:r w:rsidR="00DA0102" w:rsidRPr="001A74D9">
        <w:rPr>
          <w:rFonts w:ascii="Verdana" w:hAnsi="Verdana"/>
          <w:sz w:val="26"/>
          <w:szCs w:val="26"/>
        </w:rPr>
        <w:t xml:space="preserve">di alcune </w:t>
      </w:r>
      <w:r w:rsidRPr="001A74D9">
        <w:rPr>
          <w:rFonts w:ascii="Verdana" w:hAnsi="Verdana"/>
          <w:sz w:val="26"/>
          <w:szCs w:val="26"/>
        </w:rPr>
        <w:t xml:space="preserve">delle misure adottate. </w:t>
      </w:r>
    </w:p>
    <w:p w:rsidR="00456ED8" w:rsidRPr="001A74D9" w:rsidRDefault="00A13347" w:rsidP="001A74D9">
      <w:pPr>
        <w:spacing w:after="0" w:line="360" w:lineRule="auto"/>
        <w:jc w:val="both"/>
        <w:rPr>
          <w:rFonts w:ascii="Verdana" w:hAnsi="Verdana"/>
          <w:sz w:val="26"/>
          <w:szCs w:val="26"/>
        </w:rPr>
      </w:pPr>
      <w:r w:rsidRPr="001A74D9">
        <w:rPr>
          <w:rFonts w:ascii="Verdana" w:hAnsi="Verdana"/>
          <w:sz w:val="26"/>
          <w:szCs w:val="26"/>
        </w:rPr>
        <w:t>Per quanto riguarda l’attività dell’AGCOM, p</w:t>
      </w:r>
      <w:r w:rsidR="00456ED8" w:rsidRPr="001A74D9">
        <w:rPr>
          <w:rFonts w:ascii="Verdana" w:hAnsi="Verdana"/>
          <w:sz w:val="26"/>
          <w:szCs w:val="26"/>
        </w:rPr>
        <w:t xml:space="preserve">ossiamo </w:t>
      </w:r>
      <w:r w:rsidRPr="001A74D9">
        <w:rPr>
          <w:rFonts w:ascii="Verdana" w:hAnsi="Verdana"/>
          <w:sz w:val="26"/>
          <w:szCs w:val="26"/>
        </w:rPr>
        <w:t>v</w:t>
      </w:r>
      <w:r w:rsidR="00456ED8" w:rsidRPr="001A74D9">
        <w:rPr>
          <w:rFonts w:ascii="Verdana" w:hAnsi="Verdana"/>
          <w:sz w:val="26"/>
          <w:szCs w:val="26"/>
        </w:rPr>
        <w:t xml:space="preserve">edere vicina l’entrata a regime. Cosa significa? Significa che dopo il periodo di </w:t>
      </w:r>
      <w:r w:rsidR="00456ED8" w:rsidRPr="001A74D9">
        <w:rPr>
          <w:rFonts w:ascii="Verdana" w:hAnsi="Verdana"/>
          <w:i/>
          <w:sz w:val="26"/>
          <w:szCs w:val="26"/>
        </w:rPr>
        <w:t>enforcement</w:t>
      </w:r>
      <w:r w:rsidR="00456ED8" w:rsidRPr="001A74D9">
        <w:rPr>
          <w:rFonts w:ascii="Verdana" w:hAnsi="Verdana"/>
          <w:sz w:val="26"/>
          <w:szCs w:val="26"/>
        </w:rPr>
        <w:t xml:space="preserve"> “rinforzato” di </w:t>
      </w:r>
      <w:r w:rsidR="00456ED8" w:rsidRPr="001A74D9">
        <w:rPr>
          <w:rFonts w:ascii="Verdana" w:hAnsi="Verdana"/>
          <w:i/>
          <w:sz w:val="26"/>
          <w:szCs w:val="26"/>
        </w:rPr>
        <w:t xml:space="preserve">Open access </w:t>
      </w:r>
      <w:r w:rsidR="00B34013" w:rsidRPr="001A74D9">
        <w:rPr>
          <w:rFonts w:ascii="Verdana" w:hAnsi="Verdana"/>
          <w:i/>
          <w:sz w:val="26"/>
          <w:szCs w:val="26"/>
        </w:rPr>
        <w:t>–</w:t>
      </w:r>
      <w:r w:rsidRPr="001A74D9">
        <w:rPr>
          <w:rFonts w:ascii="Verdana" w:hAnsi="Verdana"/>
          <w:i/>
          <w:sz w:val="26"/>
          <w:szCs w:val="26"/>
        </w:rPr>
        <w:t xml:space="preserve"> </w:t>
      </w:r>
      <w:r w:rsidR="00B34013" w:rsidRPr="001A74D9">
        <w:rPr>
          <w:rFonts w:ascii="Verdana" w:hAnsi="Verdana"/>
          <w:sz w:val="26"/>
          <w:szCs w:val="26"/>
        </w:rPr>
        <w:t>in interazione con l’azione del G</w:t>
      </w:r>
      <w:r w:rsidR="00456ED8" w:rsidRPr="001A74D9">
        <w:rPr>
          <w:rFonts w:ascii="Verdana" w:hAnsi="Verdana"/>
          <w:sz w:val="26"/>
          <w:szCs w:val="26"/>
        </w:rPr>
        <w:t>ruppo di monitoraggio impegni dell’Autorità</w:t>
      </w:r>
      <w:r w:rsidRPr="001A74D9">
        <w:rPr>
          <w:rFonts w:ascii="Verdana" w:hAnsi="Verdana"/>
          <w:sz w:val="26"/>
          <w:szCs w:val="26"/>
        </w:rPr>
        <w:t>-</w:t>
      </w:r>
      <w:r w:rsidR="00456ED8" w:rsidRPr="001A74D9">
        <w:rPr>
          <w:rFonts w:ascii="Verdana" w:hAnsi="Verdana"/>
          <w:sz w:val="26"/>
          <w:szCs w:val="26"/>
        </w:rPr>
        <w:t xml:space="preserve"> </w:t>
      </w:r>
      <w:r w:rsidR="008016C5" w:rsidRPr="001A74D9">
        <w:rPr>
          <w:rFonts w:ascii="Verdana" w:hAnsi="Verdana"/>
          <w:sz w:val="26"/>
          <w:szCs w:val="26"/>
        </w:rPr>
        <w:t>stiamo tornando</w:t>
      </w:r>
      <w:r w:rsidRPr="001A74D9">
        <w:rPr>
          <w:rFonts w:ascii="Verdana" w:hAnsi="Verdana"/>
          <w:sz w:val="26"/>
          <w:szCs w:val="26"/>
        </w:rPr>
        <w:t xml:space="preserve"> </w:t>
      </w:r>
      <w:r w:rsidR="00456ED8" w:rsidRPr="001A74D9">
        <w:rPr>
          <w:rFonts w:ascii="Verdana" w:hAnsi="Verdana"/>
          <w:sz w:val="26"/>
          <w:szCs w:val="26"/>
        </w:rPr>
        <w:t>ad una normale attività di vigilanza, nell’ambito delle analisi di mercato e della non discriminazione</w:t>
      </w:r>
      <w:r w:rsidR="00456ED8" w:rsidRPr="001A74D9">
        <w:rPr>
          <w:rStyle w:val="Rimandonotaapidipagina"/>
          <w:rFonts w:ascii="Verdana" w:hAnsi="Verdana"/>
          <w:sz w:val="26"/>
          <w:szCs w:val="26"/>
        </w:rPr>
        <w:footnoteReference w:id="5"/>
      </w:r>
      <w:r w:rsidR="00456ED8" w:rsidRPr="001A74D9">
        <w:rPr>
          <w:rFonts w:ascii="Verdana" w:hAnsi="Verdana"/>
          <w:sz w:val="26"/>
          <w:szCs w:val="26"/>
        </w:rPr>
        <w:t xml:space="preserve">. </w:t>
      </w:r>
    </w:p>
    <w:p w:rsidR="00456ED8" w:rsidRPr="001A74D9" w:rsidRDefault="008016C5" w:rsidP="001A74D9">
      <w:pPr>
        <w:spacing w:after="0" w:line="360" w:lineRule="auto"/>
        <w:jc w:val="both"/>
        <w:rPr>
          <w:rFonts w:ascii="Verdana" w:hAnsi="Verdana"/>
          <w:sz w:val="26"/>
          <w:szCs w:val="26"/>
        </w:rPr>
      </w:pPr>
      <w:r w:rsidRPr="001A74D9">
        <w:rPr>
          <w:rFonts w:ascii="Verdana" w:hAnsi="Verdana"/>
          <w:sz w:val="26"/>
          <w:szCs w:val="26"/>
        </w:rPr>
        <w:t>Ma questo è possibile proprio grazie</w:t>
      </w:r>
      <w:r w:rsidR="007619AE" w:rsidRPr="001A74D9">
        <w:rPr>
          <w:rFonts w:ascii="Verdana" w:hAnsi="Verdana"/>
          <w:sz w:val="26"/>
          <w:szCs w:val="26"/>
        </w:rPr>
        <w:t xml:space="preserve"> a chi ha fatto proficuamente da traino e da sollecitatore in questo periodo di avvio e di prima applicazione.</w:t>
      </w:r>
    </w:p>
    <w:p w:rsidR="007619AE" w:rsidRPr="001A74D9" w:rsidRDefault="007619AE" w:rsidP="001A74D9">
      <w:pPr>
        <w:spacing w:after="0" w:line="360" w:lineRule="auto"/>
        <w:jc w:val="both"/>
        <w:rPr>
          <w:rFonts w:ascii="Verdana" w:hAnsi="Verdana"/>
          <w:sz w:val="26"/>
          <w:szCs w:val="26"/>
        </w:rPr>
      </w:pPr>
      <w:r w:rsidRPr="001A74D9">
        <w:rPr>
          <w:rFonts w:ascii="Verdana" w:hAnsi="Verdana"/>
          <w:sz w:val="26"/>
          <w:szCs w:val="26"/>
        </w:rPr>
        <w:t>Adesso Telecom deve garantire un esaur</w:t>
      </w:r>
      <w:r w:rsidR="007D6227" w:rsidRPr="001A74D9">
        <w:rPr>
          <w:rFonts w:ascii="Verdana" w:hAnsi="Verdana"/>
          <w:sz w:val="26"/>
          <w:szCs w:val="26"/>
        </w:rPr>
        <w:t>i</w:t>
      </w:r>
      <w:r w:rsidRPr="001A74D9">
        <w:rPr>
          <w:rFonts w:ascii="Verdana" w:hAnsi="Verdana"/>
          <w:sz w:val="26"/>
          <w:szCs w:val="26"/>
        </w:rPr>
        <w:t>ente flusso di informazioni – anche in termini di tempistica – circa i propri piani di sviluppo</w:t>
      </w:r>
      <w:r w:rsidRPr="001A74D9">
        <w:rPr>
          <w:rStyle w:val="Rimandonotaapidipagina"/>
          <w:rFonts w:ascii="Verdana" w:hAnsi="Verdana"/>
          <w:sz w:val="26"/>
          <w:szCs w:val="26"/>
        </w:rPr>
        <w:footnoteReference w:id="6"/>
      </w:r>
      <w:r w:rsidRPr="001A74D9">
        <w:rPr>
          <w:rFonts w:ascii="Verdana" w:hAnsi="Verdana"/>
          <w:sz w:val="26"/>
          <w:szCs w:val="26"/>
        </w:rPr>
        <w:t xml:space="preserve">, per evidenziare lo stato effettivo di avanzamento della qualità e dello sviluppo della rete di accesso. </w:t>
      </w:r>
    </w:p>
    <w:p w:rsidR="007619AE" w:rsidRPr="001A74D9" w:rsidRDefault="007619AE" w:rsidP="001A74D9">
      <w:pPr>
        <w:spacing w:after="0" w:line="360" w:lineRule="auto"/>
        <w:jc w:val="both"/>
        <w:rPr>
          <w:rFonts w:ascii="Verdana" w:hAnsi="Verdana"/>
          <w:sz w:val="26"/>
          <w:szCs w:val="26"/>
        </w:rPr>
      </w:pPr>
      <w:r w:rsidRPr="001A74D9">
        <w:rPr>
          <w:rFonts w:ascii="Verdana" w:hAnsi="Verdana"/>
          <w:sz w:val="26"/>
          <w:szCs w:val="26"/>
        </w:rPr>
        <w:t xml:space="preserve">Sul punto, in ottemperanza agli impegni, Telecom ha da poco presentato gli aggiornamenti del Piano per lo sviluppo della rete NGN per il periodo 2012-2014; piano che vede la combinazione di una pluralità di architetture </w:t>
      </w:r>
      <w:r w:rsidR="00DA0102" w:rsidRPr="001A74D9">
        <w:rPr>
          <w:rFonts w:ascii="Verdana" w:hAnsi="Verdana"/>
          <w:sz w:val="26"/>
          <w:szCs w:val="26"/>
        </w:rPr>
        <w:t xml:space="preserve">che divengono complementari </w:t>
      </w:r>
      <w:r w:rsidRPr="001A74D9">
        <w:rPr>
          <w:rFonts w:ascii="Verdana" w:hAnsi="Verdana"/>
          <w:sz w:val="26"/>
          <w:szCs w:val="26"/>
        </w:rPr>
        <w:t>per raggiungere 6,1 milioni di abitazioni passate in</w:t>
      </w:r>
      <w:r w:rsidR="00DA0102" w:rsidRPr="001A74D9">
        <w:rPr>
          <w:rFonts w:ascii="Verdana" w:hAnsi="Verdana"/>
          <w:sz w:val="26"/>
          <w:szCs w:val="26"/>
        </w:rPr>
        <w:t xml:space="preserve"> rete primaria entro il 2014.</w:t>
      </w:r>
    </w:p>
    <w:p w:rsidR="007619AE" w:rsidRPr="001A74D9" w:rsidRDefault="007619AE" w:rsidP="001A74D9">
      <w:pPr>
        <w:spacing w:after="0" w:line="360" w:lineRule="auto"/>
        <w:jc w:val="both"/>
        <w:rPr>
          <w:rFonts w:ascii="Verdana" w:hAnsi="Verdana"/>
          <w:sz w:val="26"/>
          <w:szCs w:val="26"/>
        </w:rPr>
      </w:pPr>
      <w:r w:rsidRPr="001A74D9">
        <w:rPr>
          <w:rFonts w:ascii="Verdana" w:hAnsi="Verdana"/>
          <w:sz w:val="26"/>
          <w:szCs w:val="26"/>
        </w:rPr>
        <w:lastRenderedPageBreak/>
        <w:t xml:space="preserve">La tensione </w:t>
      </w:r>
      <w:r w:rsidR="00B34013" w:rsidRPr="001A74D9">
        <w:rPr>
          <w:rFonts w:ascii="Verdana" w:hAnsi="Verdana"/>
          <w:sz w:val="26"/>
          <w:szCs w:val="26"/>
        </w:rPr>
        <w:t>verso lo</w:t>
      </w:r>
      <w:r w:rsidRPr="001A74D9">
        <w:rPr>
          <w:rFonts w:ascii="Verdana" w:hAnsi="Verdana"/>
          <w:sz w:val="26"/>
          <w:szCs w:val="26"/>
        </w:rPr>
        <w:t xml:space="preserve"> sviluppo delle reti in fibra è sempre stata nel DNA di </w:t>
      </w:r>
      <w:r w:rsidRPr="001A74D9">
        <w:rPr>
          <w:rFonts w:ascii="Verdana" w:hAnsi="Verdana"/>
          <w:i/>
          <w:sz w:val="26"/>
          <w:szCs w:val="26"/>
        </w:rPr>
        <w:t>Open access</w:t>
      </w:r>
      <w:r w:rsidRPr="001A74D9">
        <w:rPr>
          <w:rFonts w:ascii="Verdana" w:hAnsi="Verdana"/>
          <w:sz w:val="26"/>
          <w:szCs w:val="26"/>
        </w:rPr>
        <w:t xml:space="preserve">; una priorità assoluta della politica per lo sviluppo del Paese, eppure colta sola a periodi alterni e con strumenti fino a ieri timidi e esitanti. I primi segnali del Governo Monti fanno ben sperare; soprattutto se una salda cabina di regia prevarrà, operativamente, sul bilancino degli equilibri tra i dicasteri. </w:t>
      </w:r>
    </w:p>
    <w:p w:rsidR="007619AE" w:rsidRPr="001A74D9" w:rsidRDefault="007619AE" w:rsidP="001A74D9">
      <w:pPr>
        <w:spacing w:after="0" w:line="360" w:lineRule="auto"/>
        <w:jc w:val="both"/>
        <w:rPr>
          <w:rFonts w:ascii="Verdana" w:hAnsi="Verdana"/>
          <w:sz w:val="26"/>
          <w:szCs w:val="26"/>
        </w:rPr>
      </w:pPr>
      <w:r w:rsidRPr="001A74D9">
        <w:rPr>
          <w:rFonts w:ascii="Verdana" w:hAnsi="Verdana"/>
          <w:sz w:val="26"/>
          <w:szCs w:val="26"/>
        </w:rPr>
        <w:t xml:space="preserve">Grazie agli impegni e alla regolamentazione che </w:t>
      </w:r>
      <w:r w:rsidR="00B34013" w:rsidRPr="001A74D9">
        <w:rPr>
          <w:rFonts w:ascii="Verdana" w:hAnsi="Verdana"/>
          <w:sz w:val="26"/>
          <w:szCs w:val="26"/>
        </w:rPr>
        <w:t xml:space="preserve">ne </w:t>
      </w:r>
      <w:r w:rsidRPr="001A74D9">
        <w:rPr>
          <w:rFonts w:ascii="Verdana" w:hAnsi="Verdana"/>
          <w:sz w:val="26"/>
          <w:szCs w:val="26"/>
        </w:rPr>
        <w:t>è seguita, c’è stata l’offerta per l’accesso e la condivisione dei cavidotti a giugno 2009</w:t>
      </w:r>
      <w:r w:rsidRPr="001A74D9">
        <w:rPr>
          <w:rStyle w:val="Rimandonotaapidipagina"/>
          <w:rFonts w:ascii="Verdana" w:hAnsi="Verdana"/>
          <w:sz w:val="26"/>
          <w:szCs w:val="26"/>
        </w:rPr>
        <w:footnoteReference w:id="7"/>
      </w:r>
      <w:r w:rsidRPr="001A74D9">
        <w:rPr>
          <w:rFonts w:ascii="Verdana" w:hAnsi="Verdana"/>
          <w:sz w:val="26"/>
          <w:szCs w:val="26"/>
        </w:rPr>
        <w:t xml:space="preserve"> e </w:t>
      </w:r>
      <w:r w:rsidR="002F3E4F" w:rsidRPr="001A74D9">
        <w:rPr>
          <w:rFonts w:ascii="Verdana" w:hAnsi="Verdana"/>
          <w:sz w:val="26"/>
          <w:szCs w:val="26"/>
        </w:rPr>
        <w:t>ieri</w:t>
      </w:r>
      <w:r w:rsidRPr="001A74D9">
        <w:rPr>
          <w:rFonts w:ascii="Verdana" w:hAnsi="Verdana"/>
          <w:sz w:val="26"/>
          <w:szCs w:val="26"/>
        </w:rPr>
        <w:t xml:space="preserve"> Telecom ha presentato la prima offerta di riferimento per tutti i servizi – sia attivi che passivi – di accesso all’ingrosso su rete NGA. </w:t>
      </w:r>
      <w:r w:rsidR="00690921" w:rsidRPr="001A74D9">
        <w:rPr>
          <w:rFonts w:ascii="Verdana" w:hAnsi="Verdana"/>
          <w:sz w:val="26"/>
          <w:szCs w:val="26"/>
        </w:rPr>
        <w:t>La valuteremo.</w:t>
      </w:r>
    </w:p>
    <w:p w:rsidR="007619AE" w:rsidRPr="001A74D9" w:rsidRDefault="007619AE" w:rsidP="001A74D9">
      <w:pPr>
        <w:spacing w:after="0" w:line="360" w:lineRule="auto"/>
        <w:jc w:val="both"/>
        <w:rPr>
          <w:rFonts w:ascii="Verdana" w:hAnsi="Verdana"/>
          <w:sz w:val="26"/>
          <w:szCs w:val="26"/>
        </w:rPr>
      </w:pPr>
      <w:r w:rsidRPr="001A74D9">
        <w:rPr>
          <w:rFonts w:ascii="Verdana" w:hAnsi="Verdana"/>
          <w:sz w:val="26"/>
          <w:szCs w:val="26"/>
        </w:rPr>
        <w:t>L’impianto regolamentare</w:t>
      </w:r>
      <w:r w:rsidRPr="001A74D9">
        <w:rPr>
          <w:rStyle w:val="Rimandonotaapidipagina"/>
          <w:rFonts w:ascii="Verdana" w:hAnsi="Verdana"/>
          <w:sz w:val="26"/>
          <w:szCs w:val="26"/>
        </w:rPr>
        <w:footnoteReference w:id="8"/>
      </w:r>
      <w:r w:rsidRPr="001A74D9">
        <w:rPr>
          <w:rFonts w:ascii="Verdana" w:hAnsi="Verdana"/>
          <w:sz w:val="26"/>
          <w:szCs w:val="26"/>
        </w:rPr>
        <w:t xml:space="preserve"> per l’accesso alle nuove reti ora c’è ed è </w:t>
      </w:r>
      <w:r w:rsidRPr="001A74D9">
        <w:rPr>
          <w:rFonts w:ascii="Verdana" w:eastAsia="Times New Roman" w:hAnsi="Verdana"/>
          <w:sz w:val="26"/>
          <w:szCs w:val="26"/>
        </w:rPr>
        <w:t xml:space="preserve">più articolato di quello di Germania, Francia, Regno Unito e Spagna </w:t>
      </w:r>
      <w:r w:rsidR="00BA2525" w:rsidRPr="001A74D9">
        <w:rPr>
          <w:rFonts w:ascii="Verdana" w:eastAsia="Times New Roman" w:hAnsi="Verdana"/>
          <w:sz w:val="26"/>
          <w:szCs w:val="26"/>
        </w:rPr>
        <w:t>(</w:t>
      </w:r>
      <w:r w:rsidRPr="001A74D9">
        <w:rPr>
          <w:rFonts w:ascii="Verdana" w:eastAsia="Times New Roman" w:hAnsi="Verdana"/>
          <w:sz w:val="26"/>
          <w:szCs w:val="26"/>
        </w:rPr>
        <w:t>per rimanere nei top 5)</w:t>
      </w:r>
      <w:r w:rsidRPr="001A74D9">
        <w:rPr>
          <w:rFonts w:ascii="Verdana" w:hAnsi="Verdana"/>
          <w:sz w:val="26"/>
          <w:szCs w:val="26"/>
        </w:rPr>
        <w:t xml:space="preserve">. </w:t>
      </w:r>
    </w:p>
    <w:p w:rsidR="007619AE" w:rsidRPr="001A74D9" w:rsidRDefault="007619AE" w:rsidP="001A74D9">
      <w:pPr>
        <w:spacing w:after="0" w:line="360" w:lineRule="auto"/>
        <w:jc w:val="both"/>
        <w:rPr>
          <w:rFonts w:ascii="Verdana" w:eastAsia="Times New Roman" w:hAnsi="Verdana"/>
          <w:sz w:val="26"/>
          <w:szCs w:val="26"/>
        </w:rPr>
      </w:pPr>
      <w:r w:rsidRPr="001A74D9">
        <w:rPr>
          <w:rFonts w:ascii="Verdana" w:eastAsia="Times New Roman" w:hAnsi="Verdana"/>
          <w:sz w:val="26"/>
          <w:szCs w:val="26"/>
        </w:rPr>
        <w:t>Certo, non è un compito facile regolare qualcosa che ancora non c’è.</w:t>
      </w:r>
    </w:p>
    <w:p w:rsidR="007619AE" w:rsidRPr="001A74D9" w:rsidRDefault="007619AE" w:rsidP="001A74D9">
      <w:pPr>
        <w:spacing w:after="0" w:line="360" w:lineRule="auto"/>
        <w:jc w:val="both"/>
        <w:rPr>
          <w:rFonts w:ascii="Verdana" w:eastAsia="Times New Roman" w:hAnsi="Verdana"/>
          <w:sz w:val="26"/>
          <w:szCs w:val="26"/>
        </w:rPr>
      </w:pPr>
      <w:r w:rsidRPr="001A74D9">
        <w:rPr>
          <w:rFonts w:ascii="Verdana" w:eastAsia="Times New Roman" w:hAnsi="Verdana"/>
          <w:sz w:val="26"/>
          <w:szCs w:val="26"/>
        </w:rPr>
        <w:t>La definizione del quadro regolamentare per le reti di nuova generazione è un processo che richiede anche una certa dose di fantasia da parte delle Autorità nazionali di regolamentazione. Non è un caso che non ci sia, oggi, regolazione omogenea nei diversi Paesi europei.</w:t>
      </w:r>
    </w:p>
    <w:p w:rsidR="007619AE" w:rsidRPr="001A74D9" w:rsidRDefault="007619AE" w:rsidP="001A74D9">
      <w:pPr>
        <w:spacing w:after="0" w:line="360" w:lineRule="auto"/>
        <w:jc w:val="both"/>
        <w:rPr>
          <w:rFonts w:ascii="Verdana" w:eastAsia="Times New Roman" w:hAnsi="Verdana"/>
          <w:sz w:val="26"/>
          <w:szCs w:val="26"/>
        </w:rPr>
      </w:pPr>
      <w:r w:rsidRPr="001A74D9">
        <w:rPr>
          <w:rFonts w:ascii="Verdana" w:eastAsia="Times New Roman" w:hAnsi="Verdana"/>
          <w:sz w:val="26"/>
          <w:szCs w:val="26"/>
        </w:rPr>
        <w:t>Non si tratta di disciplinare “solamente” l’accesso da parte dei nuovi entranti alla – già esistente - rete dell’ex monopolista.</w:t>
      </w:r>
    </w:p>
    <w:p w:rsidR="00B34BCF" w:rsidRPr="001A74D9" w:rsidRDefault="00B34BCF" w:rsidP="001A74D9">
      <w:pPr>
        <w:spacing w:after="0" w:line="360" w:lineRule="auto"/>
        <w:jc w:val="both"/>
        <w:rPr>
          <w:rFonts w:ascii="Verdana" w:eastAsia="Times New Roman" w:hAnsi="Verdana"/>
          <w:sz w:val="26"/>
          <w:szCs w:val="26"/>
        </w:rPr>
      </w:pPr>
      <w:r w:rsidRPr="001A74D9">
        <w:rPr>
          <w:rFonts w:ascii="Verdana" w:eastAsia="Times New Roman" w:hAnsi="Verdana"/>
          <w:sz w:val="26"/>
          <w:szCs w:val="26"/>
        </w:rPr>
        <w:t>La replica dell’impianto delle regole del rame anche per la fibra sarebbe il modo più sicuro per pregiudicare la realizzazione delle nuove reti.</w:t>
      </w:r>
    </w:p>
    <w:p w:rsidR="00B34BCF" w:rsidRPr="001A74D9" w:rsidRDefault="00F63096" w:rsidP="001A74D9">
      <w:pPr>
        <w:spacing w:after="0" w:line="360" w:lineRule="auto"/>
        <w:jc w:val="both"/>
        <w:rPr>
          <w:rFonts w:ascii="Verdana" w:eastAsia="Times New Roman" w:hAnsi="Verdana"/>
          <w:sz w:val="26"/>
          <w:szCs w:val="26"/>
        </w:rPr>
      </w:pPr>
      <w:r w:rsidRPr="001A74D9">
        <w:rPr>
          <w:rFonts w:ascii="Verdana" w:eastAsia="Times New Roman" w:hAnsi="Verdana"/>
          <w:sz w:val="26"/>
          <w:szCs w:val="26"/>
        </w:rPr>
        <w:t>Bisogna</w:t>
      </w:r>
      <w:r w:rsidR="00B34BCF" w:rsidRPr="001A74D9">
        <w:rPr>
          <w:rFonts w:ascii="Verdana" w:eastAsia="Times New Roman" w:hAnsi="Verdana"/>
          <w:sz w:val="26"/>
          <w:szCs w:val="26"/>
        </w:rPr>
        <w:t xml:space="preserve"> andare oltre il “peccato originale” e conciliare effettivamente la promozione di una concorrenza sostenibile nei mercati finali con misure che incentivino gli investimenti degli operatori. Di tutti gli operatori.</w:t>
      </w:r>
    </w:p>
    <w:p w:rsidR="00B34BCF" w:rsidRPr="001A74D9" w:rsidRDefault="00B34BCF" w:rsidP="001A74D9">
      <w:pPr>
        <w:spacing w:after="0" w:line="360" w:lineRule="auto"/>
        <w:jc w:val="both"/>
        <w:rPr>
          <w:rFonts w:ascii="Verdana" w:eastAsia="Times New Roman" w:hAnsi="Verdana"/>
          <w:sz w:val="26"/>
          <w:szCs w:val="26"/>
        </w:rPr>
      </w:pPr>
      <w:r w:rsidRPr="001A74D9">
        <w:rPr>
          <w:rFonts w:ascii="Verdana" w:eastAsia="Times New Roman" w:hAnsi="Verdana"/>
          <w:sz w:val="26"/>
          <w:szCs w:val="26"/>
        </w:rPr>
        <w:lastRenderedPageBreak/>
        <w:t xml:space="preserve">La struttura del mercato, del resto, è radicalmente cambiata da quando l’Autorità muoveva i suoi primi passi e si faceva </w:t>
      </w:r>
      <w:r w:rsidR="00F63096" w:rsidRPr="001A74D9">
        <w:rPr>
          <w:rFonts w:ascii="Verdana" w:eastAsia="Times New Roman" w:hAnsi="Verdana"/>
          <w:sz w:val="26"/>
          <w:szCs w:val="26"/>
        </w:rPr>
        <w:t>propulsore</w:t>
      </w:r>
      <w:r w:rsidRPr="001A74D9">
        <w:rPr>
          <w:rFonts w:ascii="Verdana" w:eastAsia="Times New Roman" w:hAnsi="Verdana"/>
          <w:sz w:val="26"/>
          <w:szCs w:val="26"/>
        </w:rPr>
        <w:t xml:space="preserve"> del processo di liberalizzazione. Nel nostro Paese, grazie anche all’intervento del regolatore, c’è un elevato livello di concorrenza tra operatori di tlc nei mercati finali, sia nel mobile che nel fisso, ed un crescente livello di concorrenza infrastrutturata nell’accesso: lo vedono i consumatori, con tante offerte a prezzi decrescenti, lo “sentono” gli operatori – tutti - che vedono ridursi i ricavi e i profitti per unità di prodotto</w:t>
      </w:r>
      <w:r w:rsidRPr="001A74D9">
        <w:rPr>
          <w:rStyle w:val="Rimandonotaapidipagina"/>
          <w:rFonts w:ascii="Verdana" w:eastAsia="Times New Roman" w:hAnsi="Verdana"/>
          <w:sz w:val="26"/>
          <w:szCs w:val="26"/>
        </w:rPr>
        <w:footnoteReference w:id="9"/>
      </w:r>
      <w:r w:rsidRPr="001A74D9">
        <w:rPr>
          <w:rFonts w:ascii="Verdana" w:eastAsia="Times New Roman" w:hAnsi="Verdana"/>
          <w:sz w:val="26"/>
          <w:szCs w:val="26"/>
        </w:rPr>
        <w:t xml:space="preserve">.  </w:t>
      </w:r>
    </w:p>
    <w:p w:rsidR="00B34BCF" w:rsidRPr="001A74D9" w:rsidRDefault="00B34BCF" w:rsidP="001A74D9">
      <w:pPr>
        <w:spacing w:after="0" w:line="360" w:lineRule="auto"/>
        <w:jc w:val="both"/>
        <w:rPr>
          <w:rFonts w:ascii="Verdana" w:eastAsia="Times New Roman" w:hAnsi="Verdana"/>
          <w:sz w:val="26"/>
          <w:szCs w:val="26"/>
        </w:rPr>
      </w:pPr>
      <w:r w:rsidRPr="001A74D9">
        <w:rPr>
          <w:rFonts w:ascii="Verdana" w:eastAsia="Times New Roman" w:hAnsi="Verdana"/>
          <w:sz w:val="26"/>
          <w:szCs w:val="26"/>
        </w:rPr>
        <w:t>In un contesto più complesso e sfaccettato una maggiore sensibilità regolamentare al tema degli investimenti è più che opportuna</w:t>
      </w:r>
      <w:r w:rsidRPr="001A74D9">
        <w:rPr>
          <w:rStyle w:val="Rimandonotaapidipagina"/>
          <w:rFonts w:ascii="Verdana" w:eastAsia="Times New Roman" w:hAnsi="Verdana"/>
          <w:sz w:val="26"/>
          <w:szCs w:val="26"/>
        </w:rPr>
        <w:footnoteReference w:id="10"/>
      </w:r>
      <w:r w:rsidR="00D57C2D" w:rsidRPr="001A74D9">
        <w:rPr>
          <w:rFonts w:ascii="Verdana" w:eastAsia="Times New Roman" w:hAnsi="Verdana"/>
          <w:sz w:val="26"/>
          <w:szCs w:val="26"/>
        </w:rPr>
        <w:t>: è necessitata.</w:t>
      </w:r>
    </w:p>
    <w:p w:rsidR="00B34BCF" w:rsidRPr="001A74D9" w:rsidRDefault="00B34BCF" w:rsidP="001A74D9">
      <w:pPr>
        <w:spacing w:after="0" w:line="360" w:lineRule="auto"/>
        <w:jc w:val="both"/>
        <w:rPr>
          <w:rFonts w:ascii="Verdana" w:hAnsi="Verdana"/>
          <w:sz w:val="26"/>
          <w:szCs w:val="26"/>
        </w:rPr>
      </w:pPr>
      <w:r w:rsidRPr="001A74D9">
        <w:rPr>
          <w:rFonts w:ascii="Verdana" w:hAnsi="Verdana"/>
          <w:sz w:val="26"/>
          <w:szCs w:val="26"/>
        </w:rPr>
        <w:t>Se vogliamo davvero che la concorrenza si possa portare al livello di reti e servizi di nuova generazione e non trovi un’arena fertile solo sul rame</w:t>
      </w:r>
      <w:r w:rsidRPr="001A74D9">
        <w:rPr>
          <w:rStyle w:val="Rimandonotaapidipagina"/>
          <w:rFonts w:ascii="Verdana" w:hAnsi="Verdana"/>
          <w:sz w:val="26"/>
          <w:szCs w:val="26"/>
        </w:rPr>
        <w:footnoteReference w:id="11"/>
      </w:r>
      <w:r w:rsidRPr="001A74D9">
        <w:rPr>
          <w:rFonts w:ascii="Verdana" w:hAnsi="Verdana"/>
          <w:sz w:val="26"/>
          <w:szCs w:val="26"/>
        </w:rPr>
        <w:t xml:space="preserve">, dobbiamo farci </w:t>
      </w:r>
      <w:r w:rsidR="00D57C2D" w:rsidRPr="001A74D9">
        <w:rPr>
          <w:rFonts w:ascii="Verdana" w:hAnsi="Verdana"/>
          <w:sz w:val="26"/>
          <w:szCs w:val="26"/>
        </w:rPr>
        <w:t xml:space="preserve">dinamici </w:t>
      </w:r>
      <w:r w:rsidRPr="001A74D9">
        <w:rPr>
          <w:rFonts w:ascii="Verdana" w:hAnsi="Verdana"/>
          <w:sz w:val="26"/>
          <w:szCs w:val="26"/>
        </w:rPr>
        <w:t>interpreti di un approccio diverso.</w:t>
      </w:r>
    </w:p>
    <w:p w:rsidR="00D57C2D" w:rsidRPr="001A74D9" w:rsidRDefault="00D57C2D" w:rsidP="001A74D9">
      <w:pPr>
        <w:spacing w:after="0" w:line="360" w:lineRule="auto"/>
        <w:jc w:val="both"/>
        <w:rPr>
          <w:rFonts w:ascii="Verdana" w:hAnsi="Verdana"/>
          <w:sz w:val="26"/>
          <w:szCs w:val="26"/>
        </w:rPr>
      </w:pPr>
      <w:r w:rsidRPr="001A74D9">
        <w:rPr>
          <w:rFonts w:ascii="Verdana" w:hAnsi="Verdana"/>
          <w:sz w:val="26"/>
          <w:szCs w:val="26"/>
        </w:rPr>
        <w:t>Non si può focalizzare l’azione regolatoria solo sulla concorrenza di breve termine, tutta incentrata sui prezzi, a infrastruttura data; occorre farsi carico anche della concorrenza sostenibile nel medio periodo, su nuove infrastrutture.</w:t>
      </w:r>
    </w:p>
    <w:p w:rsidR="00D57C2D" w:rsidRPr="001A74D9" w:rsidRDefault="00D57C2D" w:rsidP="001A74D9">
      <w:pPr>
        <w:spacing w:after="0" w:line="360" w:lineRule="auto"/>
        <w:jc w:val="both"/>
        <w:rPr>
          <w:rFonts w:ascii="Verdana" w:hAnsi="Verdana"/>
          <w:sz w:val="26"/>
          <w:szCs w:val="26"/>
        </w:rPr>
      </w:pPr>
      <w:r w:rsidRPr="001A74D9">
        <w:rPr>
          <w:rFonts w:ascii="Verdana" w:hAnsi="Verdana"/>
          <w:sz w:val="26"/>
          <w:szCs w:val="26"/>
        </w:rPr>
        <w:t xml:space="preserve">Le regole varate </w:t>
      </w:r>
      <w:r w:rsidR="00DA0102" w:rsidRPr="001A74D9">
        <w:rPr>
          <w:rFonts w:ascii="Verdana" w:hAnsi="Verdana"/>
          <w:sz w:val="26"/>
          <w:szCs w:val="26"/>
        </w:rPr>
        <w:t>l’11 gennaio scorso</w:t>
      </w:r>
      <w:r w:rsidRPr="001A74D9">
        <w:rPr>
          <w:rFonts w:ascii="Verdana" w:hAnsi="Verdana"/>
          <w:sz w:val="26"/>
          <w:szCs w:val="26"/>
        </w:rPr>
        <w:t xml:space="preserve"> dall’AGCOM per le reti di nuova generazione non sono nè definitive nè immutabili</w:t>
      </w:r>
      <w:r w:rsidR="003A4229" w:rsidRPr="001A74D9">
        <w:rPr>
          <w:rFonts w:ascii="Verdana" w:hAnsi="Verdana"/>
          <w:sz w:val="26"/>
          <w:szCs w:val="26"/>
        </w:rPr>
        <w:t>,</w:t>
      </w:r>
      <w:r w:rsidRPr="001A74D9">
        <w:rPr>
          <w:rFonts w:ascii="Verdana" w:hAnsi="Verdana"/>
          <w:sz w:val="26"/>
          <w:szCs w:val="26"/>
        </w:rPr>
        <w:t xml:space="preserve"> alla luce dell’evoluzione del mercato. Esse cercano comunque di delineare fin d’ora un approccio regolamentare equilibrato al </w:t>
      </w:r>
      <w:r w:rsidRPr="001A74D9">
        <w:rPr>
          <w:rFonts w:ascii="Verdana" w:hAnsi="Verdana"/>
          <w:i/>
          <w:sz w:val="26"/>
          <w:szCs w:val="26"/>
        </w:rPr>
        <w:t>trade off</w:t>
      </w:r>
      <w:r w:rsidRPr="001A74D9">
        <w:rPr>
          <w:rFonts w:ascii="Verdana" w:hAnsi="Verdana"/>
          <w:sz w:val="26"/>
          <w:szCs w:val="26"/>
        </w:rPr>
        <w:t xml:space="preserve"> concorrenza-investimenti</w:t>
      </w:r>
      <w:r w:rsidRPr="001A74D9">
        <w:rPr>
          <w:rStyle w:val="Rimandonotaapidipagina"/>
          <w:rFonts w:ascii="Verdana" w:hAnsi="Verdana"/>
          <w:sz w:val="26"/>
          <w:szCs w:val="26"/>
        </w:rPr>
        <w:footnoteReference w:id="12"/>
      </w:r>
      <w:r w:rsidRPr="001A74D9">
        <w:rPr>
          <w:rFonts w:ascii="Verdana" w:hAnsi="Verdana"/>
          <w:sz w:val="26"/>
          <w:szCs w:val="26"/>
        </w:rPr>
        <w:t xml:space="preserve">. Sono regole che necessariamente si collocano nel solco – </w:t>
      </w:r>
      <w:r w:rsidRPr="001A74D9">
        <w:rPr>
          <w:rFonts w:ascii="Verdana" w:hAnsi="Verdana"/>
          <w:sz w:val="26"/>
          <w:szCs w:val="26"/>
        </w:rPr>
        <w:lastRenderedPageBreak/>
        <w:t>per la verità</w:t>
      </w:r>
      <w:r w:rsidR="00DA0102" w:rsidRPr="001A74D9">
        <w:rPr>
          <w:rFonts w:ascii="Verdana" w:hAnsi="Verdana"/>
          <w:sz w:val="26"/>
          <w:szCs w:val="26"/>
        </w:rPr>
        <w:t xml:space="preserve"> troppo</w:t>
      </w:r>
      <w:r w:rsidRPr="001A74D9">
        <w:rPr>
          <w:rFonts w:ascii="Verdana" w:hAnsi="Verdana"/>
          <w:sz w:val="26"/>
          <w:szCs w:val="26"/>
        </w:rPr>
        <w:t xml:space="preserve"> stretto - della Raccomandazione NGA della Commissione, che, frutto di tanti compromessi, prevede una panoplia di misure non sempre idonee a smuovere lo stagno in cui si trovano le nuove realizzazioni.</w:t>
      </w:r>
      <w:r w:rsidR="00DA0102" w:rsidRPr="001A74D9">
        <w:rPr>
          <w:rFonts w:ascii="Verdana" w:hAnsi="Verdana"/>
          <w:sz w:val="26"/>
          <w:szCs w:val="26"/>
        </w:rPr>
        <w:t xml:space="preserve"> Anche i principali fondi di investimento lo sottolineano: le regole non garantiscono un rendimento minimo per investire.</w:t>
      </w:r>
    </w:p>
    <w:p w:rsidR="00D57C2D" w:rsidRPr="001A74D9" w:rsidRDefault="00D57C2D" w:rsidP="001A74D9">
      <w:pPr>
        <w:spacing w:after="0" w:line="360" w:lineRule="auto"/>
        <w:jc w:val="both"/>
        <w:rPr>
          <w:rFonts w:ascii="Verdana" w:hAnsi="Verdana"/>
          <w:sz w:val="26"/>
          <w:szCs w:val="26"/>
        </w:rPr>
      </w:pPr>
      <w:r w:rsidRPr="001A74D9">
        <w:rPr>
          <w:rFonts w:ascii="Verdana" w:hAnsi="Verdana"/>
          <w:sz w:val="26"/>
          <w:szCs w:val="26"/>
        </w:rPr>
        <w:t>Un punto fermo è che la combinazione di rimedi attivi e passivi per aprire la rete ai concorrenti</w:t>
      </w:r>
      <w:r w:rsidRPr="001A74D9">
        <w:rPr>
          <w:rStyle w:val="Rimandonotaapidipagina"/>
          <w:rFonts w:ascii="Verdana" w:hAnsi="Verdana"/>
          <w:sz w:val="26"/>
          <w:szCs w:val="26"/>
        </w:rPr>
        <w:footnoteReference w:id="13"/>
      </w:r>
      <w:r w:rsidRPr="001A74D9">
        <w:rPr>
          <w:rFonts w:ascii="Verdana" w:hAnsi="Verdana"/>
          <w:sz w:val="26"/>
          <w:szCs w:val="26"/>
        </w:rPr>
        <w:t xml:space="preserve"> non dipende dalle scelte dell’</w:t>
      </w:r>
      <w:r w:rsidRPr="001A74D9">
        <w:rPr>
          <w:rFonts w:ascii="Verdana" w:hAnsi="Verdana"/>
          <w:i/>
          <w:iCs/>
          <w:sz w:val="26"/>
          <w:szCs w:val="26"/>
        </w:rPr>
        <w:t>incumbent</w:t>
      </w:r>
      <w:r w:rsidRPr="001A74D9">
        <w:rPr>
          <w:rFonts w:ascii="Verdana" w:hAnsi="Verdana"/>
          <w:sz w:val="26"/>
          <w:szCs w:val="26"/>
        </w:rPr>
        <w:t xml:space="preserve"> in merito alla tecnologia ed all’architettura di rete</w:t>
      </w:r>
      <w:r w:rsidRPr="001A74D9">
        <w:rPr>
          <w:rStyle w:val="Rimandonotaapidipagina"/>
          <w:rFonts w:ascii="Verdana" w:hAnsi="Verdana"/>
          <w:sz w:val="26"/>
          <w:szCs w:val="26"/>
        </w:rPr>
        <w:footnoteReference w:id="14"/>
      </w:r>
      <w:r w:rsidRPr="001A74D9">
        <w:rPr>
          <w:rFonts w:ascii="Verdana" w:hAnsi="Verdana"/>
          <w:sz w:val="26"/>
          <w:szCs w:val="26"/>
        </w:rPr>
        <w:t>. Mentre per un verso non rientra nei poteri di un’Autorità di regolamentazione l’imposizione di una particolare soluzione architetturale, deve per altro verso riaffermarsi che tutte le tecnologie - fisse e mobili - devono concorrere al conseguimento dei traguardi dell’Agenda digitale. Il Commissario Kroes lo ha detto chiaramente a Barcellona, modificando, con intelligenza e senso pratico, una posizione europea che in precedenza aveva molto insistito su regole calibrate sullo standard FTTH</w:t>
      </w:r>
      <w:r w:rsidRPr="001A74D9">
        <w:rPr>
          <w:rStyle w:val="Rimandonotaapidipagina"/>
          <w:rFonts w:ascii="Verdana" w:hAnsi="Verdana"/>
          <w:sz w:val="26"/>
          <w:szCs w:val="26"/>
        </w:rPr>
        <w:footnoteReference w:id="15"/>
      </w:r>
      <w:r w:rsidRPr="001A74D9">
        <w:rPr>
          <w:rFonts w:ascii="Verdana" w:hAnsi="Verdana"/>
          <w:sz w:val="26"/>
          <w:szCs w:val="26"/>
        </w:rPr>
        <w:t xml:space="preserve">.  </w:t>
      </w:r>
    </w:p>
    <w:p w:rsidR="00D57C2D" w:rsidRPr="001A74D9" w:rsidRDefault="00D57C2D" w:rsidP="001A74D9">
      <w:pPr>
        <w:spacing w:after="0" w:line="360" w:lineRule="auto"/>
        <w:jc w:val="both"/>
        <w:rPr>
          <w:rFonts w:ascii="Verdana" w:hAnsi="Verdana"/>
          <w:sz w:val="26"/>
          <w:szCs w:val="26"/>
        </w:rPr>
      </w:pPr>
      <w:r w:rsidRPr="001A74D9">
        <w:rPr>
          <w:rFonts w:ascii="Verdana" w:hAnsi="Verdana"/>
          <w:sz w:val="26"/>
          <w:szCs w:val="26"/>
        </w:rPr>
        <w:t xml:space="preserve">Comunque, dal nostro punto di vista non abbiamo certo finito il lavoro. </w:t>
      </w:r>
    </w:p>
    <w:p w:rsidR="00D57C2D" w:rsidRPr="001A74D9" w:rsidRDefault="00D57C2D" w:rsidP="001A74D9">
      <w:pPr>
        <w:spacing w:after="0" w:line="360" w:lineRule="auto"/>
        <w:jc w:val="both"/>
        <w:rPr>
          <w:rFonts w:ascii="Verdana" w:hAnsi="Verdana"/>
          <w:sz w:val="26"/>
          <w:szCs w:val="26"/>
        </w:rPr>
      </w:pPr>
      <w:r w:rsidRPr="001A74D9">
        <w:rPr>
          <w:rFonts w:ascii="Verdana" w:hAnsi="Verdana"/>
          <w:sz w:val="26"/>
          <w:szCs w:val="26"/>
        </w:rPr>
        <w:lastRenderedPageBreak/>
        <w:t xml:space="preserve">Il quadro regolamentare manca ancora di tre segmenti caratterizzanti tre importanti procedimenti che intendiamo chiudere entro la fine della presente Consiliatura: </w:t>
      </w:r>
    </w:p>
    <w:p w:rsidR="00D57C2D" w:rsidRPr="001A74D9" w:rsidRDefault="00D57C2D" w:rsidP="001A74D9">
      <w:pPr>
        <w:pStyle w:val="Paragrafoelenco"/>
        <w:numPr>
          <w:ilvl w:val="0"/>
          <w:numId w:val="1"/>
        </w:numPr>
        <w:spacing w:after="0" w:line="360" w:lineRule="auto"/>
        <w:jc w:val="both"/>
        <w:rPr>
          <w:rFonts w:ascii="Verdana" w:hAnsi="Verdana"/>
          <w:sz w:val="26"/>
          <w:szCs w:val="26"/>
        </w:rPr>
      </w:pPr>
      <w:r w:rsidRPr="001A74D9">
        <w:rPr>
          <w:rFonts w:ascii="Verdana" w:hAnsi="Verdana"/>
          <w:sz w:val="26"/>
          <w:szCs w:val="26"/>
        </w:rPr>
        <w:t>La valutazione dell’impatto regolamentare del "</w:t>
      </w:r>
      <w:r w:rsidRPr="001A74D9">
        <w:rPr>
          <w:rFonts w:ascii="Verdana" w:hAnsi="Verdana"/>
          <w:i/>
          <w:sz w:val="26"/>
          <w:szCs w:val="26"/>
        </w:rPr>
        <w:t>technology mix</w:t>
      </w:r>
      <w:r w:rsidRPr="001A74D9">
        <w:rPr>
          <w:rFonts w:ascii="Verdana" w:hAnsi="Verdana"/>
          <w:sz w:val="26"/>
          <w:szCs w:val="26"/>
        </w:rPr>
        <w:t>" per la copertura del territorio con soluzioni miste radio-rame-fibra (LTE-VDSL-FTTH)</w:t>
      </w:r>
      <w:r w:rsidR="00C71F52" w:rsidRPr="001A74D9">
        <w:rPr>
          <w:rFonts w:ascii="Verdana" w:hAnsi="Verdana"/>
          <w:sz w:val="26"/>
          <w:szCs w:val="26"/>
        </w:rPr>
        <w:t>,</w:t>
      </w:r>
      <w:r w:rsidRPr="001A74D9">
        <w:rPr>
          <w:rFonts w:ascii="Verdana" w:hAnsi="Verdana"/>
          <w:sz w:val="26"/>
          <w:szCs w:val="26"/>
        </w:rPr>
        <w:t xml:space="preserve"> </w:t>
      </w:r>
      <w:r w:rsidR="00DA0102" w:rsidRPr="001A74D9">
        <w:rPr>
          <w:rFonts w:ascii="Verdana" w:hAnsi="Verdana"/>
          <w:sz w:val="26"/>
          <w:szCs w:val="26"/>
        </w:rPr>
        <w:t xml:space="preserve">che tengano nel giusto conto l’innovazione del </w:t>
      </w:r>
      <w:r w:rsidR="00DA0102" w:rsidRPr="001A74D9">
        <w:rPr>
          <w:rFonts w:ascii="Verdana" w:hAnsi="Verdana"/>
          <w:i/>
          <w:sz w:val="26"/>
          <w:szCs w:val="26"/>
        </w:rPr>
        <w:t>vectoring</w:t>
      </w:r>
      <w:r w:rsidR="00DA0102" w:rsidRPr="001A74D9">
        <w:rPr>
          <w:rStyle w:val="Rimandonotaapidipagina"/>
          <w:rFonts w:ascii="Verdana" w:hAnsi="Verdana"/>
          <w:sz w:val="26"/>
          <w:szCs w:val="26"/>
        </w:rPr>
        <w:footnoteReference w:id="16"/>
      </w:r>
      <w:r w:rsidR="00DA0102" w:rsidRPr="001A74D9">
        <w:rPr>
          <w:rFonts w:ascii="Verdana" w:hAnsi="Verdana"/>
          <w:sz w:val="26"/>
          <w:szCs w:val="26"/>
        </w:rPr>
        <w:t>;</w:t>
      </w:r>
      <w:r w:rsidRPr="001A74D9">
        <w:rPr>
          <w:rFonts w:ascii="Verdana" w:hAnsi="Verdana"/>
          <w:sz w:val="26"/>
          <w:szCs w:val="26"/>
        </w:rPr>
        <w:t xml:space="preserve"> </w:t>
      </w:r>
    </w:p>
    <w:p w:rsidR="00D57C2D" w:rsidRPr="001A74D9" w:rsidRDefault="00D57C2D" w:rsidP="001A74D9">
      <w:pPr>
        <w:pStyle w:val="Paragrafoelenco"/>
        <w:numPr>
          <w:ilvl w:val="0"/>
          <w:numId w:val="1"/>
        </w:numPr>
        <w:spacing w:after="0" w:line="360" w:lineRule="auto"/>
        <w:jc w:val="both"/>
        <w:rPr>
          <w:rFonts w:ascii="Verdana" w:hAnsi="Verdana"/>
          <w:sz w:val="26"/>
          <w:szCs w:val="26"/>
        </w:rPr>
      </w:pPr>
      <w:r w:rsidRPr="001A74D9">
        <w:rPr>
          <w:rFonts w:ascii="Verdana" w:hAnsi="Verdana"/>
          <w:sz w:val="26"/>
          <w:szCs w:val="26"/>
        </w:rPr>
        <w:t xml:space="preserve">La determinazione dei prezzi dei servizi all’ingrosso di accesso alla rete in fibra, che passa per il </w:t>
      </w:r>
      <w:r w:rsidRPr="001A74D9">
        <w:rPr>
          <w:rFonts w:ascii="Verdana" w:hAnsi="Verdana"/>
          <w:i/>
          <w:sz w:val="26"/>
          <w:szCs w:val="26"/>
        </w:rPr>
        <w:t>quantum</w:t>
      </w:r>
      <w:r w:rsidRPr="001A74D9">
        <w:rPr>
          <w:rFonts w:ascii="Verdana" w:hAnsi="Verdana"/>
          <w:sz w:val="26"/>
          <w:szCs w:val="26"/>
        </w:rPr>
        <w:t xml:space="preserve"> della remunerazione del capitale investito e del premio per il rischio, </w:t>
      </w:r>
      <w:r w:rsidR="00261865" w:rsidRPr="001A74D9">
        <w:rPr>
          <w:rFonts w:ascii="Verdana" w:hAnsi="Verdana"/>
          <w:sz w:val="26"/>
          <w:szCs w:val="26"/>
        </w:rPr>
        <w:t>e suscita il tema</w:t>
      </w:r>
      <w:r w:rsidRPr="001A74D9">
        <w:rPr>
          <w:rFonts w:ascii="Verdana" w:hAnsi="Verdana"/>
          <w:sz w:val="26"/>
          <w:szCs w:val="26"/>
        </w:rPr>
        <w:t xml:space="preserve"> delle aree in cui sussiste una competizione sostenibile;</w:t>
      </w:r>
    </w:p>
    <w:p w:rsidR="00D57C2D" w:rsidRPr="001A74D9" w:rsidRDefault="00D57C2D" w:rsidP="001A74D9">
      <w:pPr>
        <w:pStyle w:val="Paragrafoelenco"/>
        <w:numPr>
          <w:ilvl w:val="0"/>
          <w:numId w:val="1"/>
        </w:numPr>
        <w:spacing w:after="0" w:line="360" w:lineRule="auto"/>
        <w:jc w:val="both"/>
        <w:rPr>
          <w:rFonts w:ascii="Verdana" w:hAnsi="Verdana"/>
          <w:sz w:val="26"/>
          <w:szCs w:val="26"/>
        </w:rPr>
      </w:pPr>
      <w:r w:rsidRPr="001A74D9">
        <w:rPr>
          <w:rFonts w:ascii="Verdana" w:hAnsi="Verdana"/>
          <w:sz w:val="26"/>
          <w:szCs w:val="26"/>
        </w:rPr>
        <w:t xml:space="preserve">La valutazione della sussistenza delle condizioni per l'imposizione di obblighi simmetrici di accesso alle verticali di palazzo. </w:t>
      </w:r>
    </w:p>
    <w:p w:rsidR="00D57C2D" w:rsidRPr="001A74D9" w:rsidRDefault="00D57C2D" w:rsidP="001A74D9">
      <w:pPr>
        <w:spacing w:after="0" w:line="360" w:lineRule="auto"/>
        <w:jc w:val="both"/>
        <w:rPr>
          <w:rFonts w:ascii="Verdana" w:hAnsi="Verdana"/>
          <w:sz w:val="26"/>
          <w:szCs w:val="26"/>
        </w:rPr>
      </w:pPr>
      <w:r w:rsidRPr="001A74D9">
        <w:rPr>
          <w:rFonts w:ascii="Verdana" w:hAnsi="Verdana"/>
          <w:sz w:val="26"/>
          <w:szCs w:val="26"/>
        </w:rPr>
        <w:t xml:space="preserve">Il quadro complessivo è peraltro più vasto e dovrebbe contemplare: </w:t>
      </w:r>
    </w:p>
    <w:p w:rsidR="00D57C2D" w:rsidRPr="001A74D9" w:rsidRDefault="00D57C2D" w:rsidP="001A74D9">
      <w:pPr>
        <w:pStyle w:val="Paragrafoelenco"/>
        <w:numPr>
          <w:ilvl w:val="0"/>
          <w:numId w:val="1"/>
        </w:numPr>
        <w:spacing w:after="0" w:line="360" w:lineRule="auto"/>
        <w:jc w:val="both"/>
        <w:rPr>
          <w:rFonts w:ascii="Verdana" w:hAnsi="Verdana"/>
          <w:sz w:val="26"/>
          <w:szCs w:val="26"/>
        </w:rPr>
      </w:pPr>
      <w:r w:rsidRPr="001A74D9">
        <w:rPr>
          <w:rFonts w:ascii="Verdana" w:hAnsi="Verdana"/>
          <w:sz w:val="26"/>
          <w:szCs w:val="26"/>
        </w:rPr>
        <w:t>Misure pubbliche di offerta, siano esse interve</w:t>
      </w:r>
      <w:r w:rsidR="003A4229" w:rsidRPr="001A74D9">
        <w:rPr>
          <w:rFonts w:ascii="Verdana" w:hAnsi="Verdana"/>
          <w:sz w:val="26"/>
          <w:szCs w:val="26"/>
        </w:rPr>
        <w:t>nti diretti o di facilitazione.</w:t>
      </w:r>
      <w:r w:rsidRPr="001A74D9">
        <w:rPr>
          <w:rFonts w:ascii="Verdana" w:hAnsi="Verdana"/>
          <w:sz w:val="26"/>
          <w:szCs w:val="26"/>
        </w:rPr>
        <w:t xml:space="preserve"> </w:t>
      </w:r>
      <w:r w:rsidRPr="001A74D9">
        <w:rPr>
          <w:rFonts w:ascii="Verdana" w:hAnsi="Verdana"/>
          <w:i/>
          <w:sz w:val="26"/>
          <w:szCs w:val="26"/>
        </w:rPr>
        <w:t>L’ho detto più volte, le norme sugli aiuti di Stato sono eccessivamente rigide. Di fronte ad uno stallo degli investimenti, un loro ripensamento è quanto mai opportuno</w:t>
      </w:r>
      <w:r w:rsidRPr="001A74D9">
        <w:rPr>
          <w:rStyle w:val="Rimandonotaapidipagina"/>
          <w:rFonts w:ascii="Verdana" w:hAnsi="Verdana"/>
          <w:i/>
          <w:sz w:val="26"/>
          <w:szCs w:val="26"/>
        </w:rPr>
        <w:footnoteReference w:id="17"/>
      </w:r>
      <w:r w:rsidRPr="001A74D9">
        <w:rPr>
          <w:rFonts w:ascii="Verdana" w:hAnsi="Verdana"/>
          <w:i/>
          <w:sz w:val="26"/>
          <w:szCs w:val="26"/>
        </w:rPr>
        <w:t xml:space="preserve">; anche in tempi di crisi. </w:t>
      </w:r>
    </w:p>
    <w:p w:rsidR="00D57C2D" w:rsidRPr="001A74D9" w:rsidRDefault="003B0FEF" w:rsidP="001A74D9">
      <w:pPr>
        <w:pStyle w:val="Paragrafoelenco"/>
        <w:numPr>
          <w:ilvl w:val="0"/>
          <w:numId w:val="1"/>
        </w:numPr>
        <w:spacing w:after="0" w:line="360" w:lineRule="auto"/>
        <w:jc w:val="both"/>
        <w:rPr>
          <w:rFonts w:ascii="Verdana" w:hAnsi="Verdana"/>
          <w:sz w:val="26"/>
          <w:szCs w:val="26"/>
        </w:rPr>
      </w:pPr>
      <w:r w:rsidRPr="001A74D9">
        <w:rPr>
          <w:rFonts w:ascii="Verdana" w:hAnsi="Verdana"/>
          <w:sz w:val="26"/>
          <w:szCs w:val="26"/>
        </w:rPr>
        <w:t>M</w:t>
      </w:r>
      <w:r w:rsidR="00D57C2D" w:rsidRPr="001A74D9">
        <w:rPr>
          <w:rFonts w:ascii="Verdana" w:hAnsi="Verdana"/>
          <w:sz w:val="26"/>
          <w:szCs w:val="26"/>
        </w:rPr>
        <w:t>isure di sostegno alla domanda digitale</w:t>
      </w:r>
      <w:r w:rsidRPr="001A74D9">
        <w:rPr>
          <w:rFonts w:ascii="Verdana" w:hAnsi="Verdana"/>
          <w:sz w:val="26"/>
          <w:szCs w:val="26"/>
        </w:rPr>
        <w:t xml:space="preserve">, così </w:t>
      </w:r>
      <w:r w:rsidR="00D57C2D" w:rsidRPr="001A74D9">
        <w:rPr>
          <w:rFonts w:ascii="Verdana" w:hAnsi="Verdana"/>
          <w:sz w:val="26"/>
          <w:szCs w:val="26"/>
        </w:rPr>
        <w:t>come abbiamo</w:t>
      </w:r>
      <w:r w:rsidRPr="001A74D9">
        <w:rPr>
          <w:rFonts w:ascii="Verdana" w:hAnsi="Verdana"/>
          <w:sz w:val="26"/>
          <w:szCs w:val="26"/>
        </w:rPr>
        <w:t xml:space="preserve"> suggerito al Governo</w:t>
      </w:r>
      <w:r w:rsidR="00D57C2D" w:rsidRPr="001A74D9">
        <w:rPr>
          <w:rFonts w:ascii="Verdana" w:hAnsi="Verdana"/>
          <w:sz w:val="26"/>
          <w:szCs w:val="26"/>
        </w:rPr>
        <w:t xml:space="preserve"> e come ha fatto</w:t>
      </w:r>
      <w:r w:rsidRPr="001A74D9">
        <w:rPr>
          <w:rFonts w:ascii="Verdana" w:hAnsi="Verdana"/>
          <w:sz w:val="26"/>
          <w:szCs w:val="26"/>
        </w:rPr>
        <w:t xml:space="preserve"> anche</w:t>
      </w:r>
      <w:r w:rsidR="00D57C2D" w:rsidRPr="001A74D9">
        <w:rPr>
          <w:rFonts w:ascii="Verdana" w:hAnsi="Verdana"/>
          <w:sz w:val="26"/>
          <w:szCs w:val="26"/>
        </w:rPr>
        <w:t>,</w:t>
      </w:r>
      <w:r w:rsidR="003A4229" w:rsidRPr="001A74D9">
        <w:rPr>
          <w:rFonts w:ascii="Verdana" w:hAnsi="Verdana"/>
          <w:sz w:val="26"/>
          <w:szCs w:val="26"/>
        </w:rPr>
        <w:t xml:space="preserve"> opportunamente, Confindustria d</w:t>
      </w:r>
      <w:r w:rsidR="00D57C2D" w:rsidRPr="001A74D9">
        <w:rPr>
          <w:rFonts w:ascii="Verdana" w:hAnsi="Verdana"/>
          <w:sz w:val="26"/>
          <w:szCs w:val="26"/>
        </w:rPr>
        <w:t xml:space="preserve">igitale. </w:t>
      </w:r>
    </w:p>
    <w:p w:rsidR="00D57C2D" w:rsidRPr="001A74D9" w:rsidRDefault="00D57C2D" w:rsidP="001A74D9">
      <w:pPr>
        <w:spacing w:after="0" w:line="360" w:lineRule="auto"/>
        <w:jc w:val="both"/>
        <w:rPr>
          <w:rFonts w:ascii="Verdana" w:hAnsi="Verdana"/>
          <w:sz w:val="26"/>
          <w:szCs w:val="26"/>
        </w:rPr>
      </w:pPr>
      <w:r w:rsidRPr="001A74D9">
        <w:rPr>
          <w:rFonts w:ascii="Verdana" w:hAnsi="Verdana"/>
          <w:sz w:val="26"/>
          <w:szCs w:val="26"/>
        </w:rPr>
        <w:t xml:space="preserve">E’ infatti attraverso l’interazione tra domanda e offerta e tra intervento pubblico e privato che si può risolvere la perversa combinazione tra alto costo di fornitura e ridotta disponibilità a spendere che fa del nostro un Paese ancora arretrato, quantomeno nell’utilizzo dei nuovi servizi, nonostante il segmento mobile sia il più avanzato e competitivo in </w:t>
      </w:r>
      <w:r w:rsidRPr="001A74D9">
        <w:rPr>
          <w:rFonts w:ascii="Verdana" w:hAnsi="Verdana"/>
          <w:sz w:val="26"/>
          <w:szCs w:val="26"/>
        </w:rPr>
        <w:lastRenderedPageBreak/>
        <w:t xml:space="preserve">Europa. Gli </w:t>
      </w:r>
      <w:r w:rsidRPr="001A74D9">
        <w:rPr>
          <w:rFonts w:ascii="Verdana" w:hAnsi="Verdana"/>
          <w:i/>
          <w:sz w:val="26"/>
          <w:szCs w:val="26"/>
        </w:rPr>
        <w:t>smartphone</w:t>
      </w:r>
      <w:r w:rsidRPr="001A74D9">
        <w:rPr>
          <w:rFonts w:ascii="Verdana" w:hAnsi="Verdana"/>
          <w:sz w:val="26"/>
          <w:szCs w:val="26"/>
        </w:rPr>
        <w:t xml:space="preserve"> e i cavidotti non si traducono automaticamente in uso reale delle tecnologie – cioè </w:t>
      </w:r>
      <w:r w:rsidR="003A4229" w:rsidRPr="001A74D9">
        <w:rPr>
          <w:rFonts w:ascii="Verdana" w:hAnsi="Verdana"/>
          <w:sz w:val="26"/>
          <w:szCs w:val="26"/>
        </w:rPr>
        <w:t xml:space="preserve">in </w:t>
      </w:r>
      <w:r w:rsidRPr="001A74D9">
        <w:rPr>
          <w:rFonts w:ascii="Verdana" w:hAnsi="Verdana"/>
          <w:sz w:val="26"/>
          <w:szCs w:val="26"/>
        </w:rPr>
        <w:t>quello che fa aumentare la produttività econom</w:t>
      </w:r>
      <w:r w:rsidR="003B0FEF" w:rsidRPr="001A74D9">
        <w:rPr>
          <w:rFonts w:ascii="Verdana" w:hAnsi="Verdana"/>
          <w:sz w:val="26"/>
          <w:szCs w:val="26"/>
        </w:rPr>
        <w:t>ica e sociale di un P</w:t>
      </w:r>
      <w:r w:rsidRPr="001A74D9">
        <w:rPr>
          <w:rFonts w:ascii="Verdana" w:hAnsi="Verdana"/>
          <w:sz w:val="26"/>
          <w:szCs w:val="26"/>
        </w:rPr>
        <w:t>aese e lo fa “avanzare” – ma necessitano di adeguate politiche per la domanda.</w:t>
      </w:r>
    </w:p>
    <w:p w:rsidR="00D57C2D" w:rsidRPr="001A74D9" w:rsidRDefault="00D57C2D" w:rsidP="001A74D9">
      <w:pPr>
        <w:spacing w:after="0" w:line="360" w:lineRule="auto"/>
        <w:jc w:val="both"/>
        <w:rPr>
          <w:rFonts w:ascii="Verdana" w:hAnsi="Verdana"/>
          <w:sz w:val="26"/>
          <w:szCs w:val="26"/>
        </w:rPr>
      </w:pPr>
    </w:p>
    <w:p w:rsidR="003B0FEF" w:rsidRPr="001A74D9" w:rsidRDefault="003B0FEF" w:rsidP="001A74D9">
      <w:pPr>
        <w:spacing w:after="0" w:line="360" w:lineRule="auto"/>
        <w:jc w:val="both"/>
        <w:rPr>
          <w:rFonts w:ascii="Verdana" w:hAnsi="Verdana"/>
          <w:sz w:val="26"/>
          <w:szCs w:val="26"/>
        </w:rPr>
      </w:pPr>
      <w:r w:rsidRPr="001A74D9">
        <w:rPr>
          <w:rFonts w:ascii="Verdana" w:hAnsi="Verdana"/>
          <w:sz w:val="26"/>
          <w:szCs w:val="26"/>
        </w:rPr>
        <w:t xml:space="preserve">Il </w:t>
      </w:r>
      <w:r w:rsidR="00D57C2D" w:rsidRPr="001A74D9">
        <w:rPr>
          <w:rFonts w:ascii="Verdana" w:hAnsi="Verdana"/>
          <w:sz w:val="26"/>
          <w:szCs w:val="26"/>
        </w:rPr>
        <w:t xml:space="preserve">cuore degli investimenti spetta </w:t>
      </w:r>
      <w:r w:rsidRPr="001A74D9">
        <w:rPr>
          <w:rFonts w:ascii="Verdana" w:hAnsi="Verdana"/>
          <w:sz w:val="26"/>
          <w:szCs w:val="26"/>
        </w:rPr>
        <w:t xml:space="preserve">indubbiamente </w:t>
      </w:r>
      <w:r w:rsidR="00D57C2D" w:rsidRPr="001A74D9">
        <w:rPr>
          <w:rFonts w:ascii="Verdana" w:hAnsi="Verdana"/>
          <w:sz w:val="26"/>
          <w:szCs w:val="26"/>
        </w:rPr>
        <w:t xml:space="preserve">al settore privato. Agli operatori di telecomunicazioni </w:t>
      </w:r>
      <w:r w:rsidR="00D57C2D" w:rsidRPr="001A74D9">
        <w:rPr>
          <w:rFonts w:ascii="Verdana" w:hAnsi="Verdana"/>
          <w:i/>
          <w:sz w:val="26"/>
          <w:szCs w:val="26"/>
        </w:rPr>
        <w:t>in primis</w:t>
      </w:r>
      <w:r w:rsidR="00D57C2D" w:rsidRPr="001A74D9">
        <w:rPr>
          <w:rFonts w:ascii="Verdana" w:hAnsi="Verdana"/>
          <w:sz w:val="26"/>
          <w:szCs w:val="26"/>
        </w:rPr>
        <w:t xml:space="preserve">. </w:t>
      </w:r>
    </w:p>
    <w:p w:rsidR="00D57C2D" w:rsidRPr="001A74D9" w:rsidRDefault="00D57C2D" w:rsidP="001A74D9">
      <w:pPr>
        <w:spacing w:after="0" w:line="360" w:lineRule="auto"/>
        <w:jc w:val="both"/>
        <w:rPr>
          <w:rFonts w:ascii="Verdana" w:hAnsi="Verdana"/>
          <w:sz w:val="26"/>
          <w:szCs w:val="26"/>
        </w:rPr>
      </w:pPr>
      <w:r w:rsidRPr="001A74D9">
        <w:rPr>
          <w:rFonts w:ascii="Verdana" w:hAnsi="Verdana"/>
          <w:sz w:val="26"/>
          <w:szCs w:val="26"/>
        </w:rPr>
        <w:t>A quel comparto</w:t>
      </w:r>
      <w:r w:rsidR="003B0FEF" w:rsidRPr="001A74D9">
        <w:rPr>
          <w:rFonts w:ascii="Verdana" w:hAnsi="Verdana"/>
          <w:sz w:val="26"/>
          <w:szCs w:val="26"/>
        </w:rPr>
        <w:t>, cioè,</w:t>
      </w:r>
      <w:r w:rsidRPr="001A74D9">
        <w:rPr>
          <w:rFonts w:ascii="Verdana" w:hAnsi="Verdana"/>
          <w:sz w:val="26"/>
          <w:szCs w:val="26"/>
        </w:rPr>
        <w:t xml:space="preserve"> che, mentre è chiamato ad investire</w:t>
      </w:r>
      <w:r w:rsidR="001C3413" w:rsidRPr="001A74D9">
        <w:rPr>
          <w:rFonts w:ascii="Verdana" w:hAnsi="Verdana"/>
          <w:sz w:val="26"/>
          <w:szCs w:val="26"/>
        </w:rPr>
        <w:t xml:space="preserve"> sia nel fisso che nel mobile</w:t>
      </w:r>
      <w:r w:rsidRPr="001A74D9">
        <w:rPr>
          <w:rFonts w:ascii="Verdana" w:hAnsi="Verdana"/>
          <w:sz w:val="26"/>
          <w:szCs w:val="26"/>
        </w:rPr>
        <w:t xml:space="preserve">, non riesce ad appropriarsi del valore atteso proprio dagli investimenti nelle nuove reti. La crescente partecipazione ai ricavi complessivi della filiera delle telecomunicazioni - ma anche dell’audiovisivo - </w:t>
      </w:r>
      <w:r w:rsidR="003B0FEF" w:rsidRPr="001A74D9">
        <w:rPr>
          <w:rFonts w:ascii="Verdana" w:hAnsi="Verdana"/>
          <w:sz w:val="26"/>
          <w:szCs w:val="26"/>
        </w:rPr>
        <w:t xml:space="preserve">da parte degli </w:t>
      </w:r>
      <w:r w:rsidR="003B0FEF" w:rsidRPr="001A74D9">
        <w:rPr>
          <w:rFonts w:ascii="Verdana" w:hAnsi="Verdana"/>
          <w:i/>
          <w:sz w:val="26"/>
          <w:szCs w:val="26"/>
        </w:rPr>
        <w:t>O</w:t>
      </w:r>
      <w:r w:rsidRPr="001A74D9">
        <w:rPr>
          <w:rFonts w:ascii="Verdana" w:hAnsi="Verdana"/>
          <w:i/>
          <w:sz w:val="26"/>
          <w:szCs w:val="26"/>
        </w:rPr>
        <w:t>ver the top</w:t>
      </w:r>
      <w:r w:rsidRPr="001A74D9">
        <w:rPr>
          <w:rFonts w:ascii="Verdana" w:hAnsi="Verdana"/>
          <w:sz w:val="26"/>
          <w:szCs w:val="26"/>
        </w:rPr>
        <w:t xml:space="preserve"> è infatti inarrestabile.</w:t>
      </w:r>
    </w:p>
    <w:p w:rsidR="003A4229" w:rsidRPr="001A74D9" w:rsidRDefault="00D57C2D" w:rsidP="001A74D9">
      <w:pPr>
        <w:spacing w:after="0" w:line="360" w:lineRule="auto"/>
        <w:jc w:val="both"/>
        <w:rPr>
          <w:rFonts w:ascii="Verdana" w:hAnsi="Verdana"/>
          <w:sz w:val="26"/>
          <w:szCs w:val="26"/>
        </w:rPr>
      </w:pPr>
      <w:r w:rsidRPr="001A74D9">
        <w:rPr>
          <w:rFonts w:ascii="Verdana" w:hAnsi="Verdana"/>
          <w:sz w:val="26"/>
          <w:szCs w:val="26"/>
        </w:rPr>
        <w:t xml:space="preserve">Si sta delineando uno scenario in cui il flusso dei ricavi e quello degli investimenti sono tra loro scollegati e disarmonici. Questo ha </w:t>
      </w:r>
      <w:r w:rsidR="001C3413" w:rsidRPr="001A74D9">
        <w:rPr>
          <w:rFonts w:ascii="Verdana" w:hAnsi="Verdana"/>
          <w:sz w:val="26"/>
          <w:szCs w:val="26"/>
        </w:rPr>
        <w:t xml:space="preserve">in primo luogo </w:t>
      </w:r>
      <w:r w:rsidRPr="001A74D9">
        <w:rPr>
          <w:rFonts w:ascii="Verdana" w:hAnsi="Verdana"/>
          <w:sz w:val="26"/>
          <w:szCs w:val="26"/>
        </w:rPr>
        <w:t>ricadute sulla capacità ad investire nelle nuove reti, con conseguenze sul percorso di infrastrutturazione nel nostro Paese</w:t>
      </w:r>
      <w:r w:rsidR="001C3413" w:rsidRPr="001A74D9">
        <w:rPr>
          <w:rFonts w:ascii="Verdana" w:hAnsi="Verdana"/>
          <w:sz w:val="26"/>
          <w:szCs w:val="26"/>
        </w:rPr>
        <w:t xml:space="preserve">. Le NGN languono, la banda mobile è satura. Un grido di allarme che </w:t>
      </w:r>
      <w:r w:rsidR="004C5B70" w:rsidRPr="001A74D9">
        <w:rPr>
          <w:rFonts w:ascii="Verdana" w:hAnsi="Verdana"/>
          <w:sz w:val="26"/>
          <w:szCs w:val="26"/>
        </w:rPr>
        <w:t xml:space="preserve">inutilmente ho </w:t>
      </w:r>
      <w:r w:rsidR="001D6023" w:rsidRPr="001A74D9">
        <w:rPr>
          <w:rFonts w:ascii="Verdana" w:hAnsi="Verdana"/>
          <w:sz w:val="26"/>
          <w:szCs w:val="26"/>
        </w:rPr>
        <w:t>lanciato per tempo e che trova oggi sempre più vasta eco.</w:t>
      </w:r>
      <w:r w:rsidRPr="001A74D9">
        <w:rPr>
          <w:rFonts w:ascii="Verdana" w:hAnsi="Verdana"/>
          <w:sz w:val="26"/>
          <w:szCs w:val="26"/>
        </w:rPr>
        <w:t xml:space="preserve"> </w:t>
      </w:r>
    </w:p>
    <w:p w:rsidR="00D57C2D" w:rsidRPr="001A74D9" w:rsidRDefault="001D6023" w:rsidP="001A74D9">
      <w:pPr>
        <w:spacing w:after="0" w:line="360" w:lineRule="auto"/>
        <w:jc w:val="both"/>
        <w:rPr>
          <w:rFonts w:ascii="Verdana" w:hAnsi="Verdana"/>
          <w:sz w:val="26"/>
          <w:szCs w:val="26"/>
        </w:rPr>
      </w:pPr>
      <w:r w:rsidRPr="001A74D9">
        <w:rPr>
          <w:rFonts w:ascii="Verdana" w:hAnsi="Verdana"/>
          <w:sz w:val="26"/>
          <w:szCs w:val="26"/>
        </w:rPr>
        <w:t>M</w:t>
      </w:r>
      <w:r w:rsidR="00D57C2D" w:rsidRPr="001A74D9">
        <w:rPr>
          <w:rFonts w:ascii="Verdana" w:hAnsi="Verdana"/>
          <w:sz w:val="26"/>
          <w:szCs w:val="26"/>
        </w:rPr>
        <w:t>a ha anche riflessi non sec</w:t>
      </w:r>
      <w:r w:rsidRPr="001A74D9">
        <w:rPr>
          <w:rFonts w:ascii="Verdana" w:hAnsi="Verdana"/>
          <w:sz w:val="26"/>
          <w:szCs w:val="26"/>
        </w:rPr>
        <w:t>ondari di natura macroeconomica:</w:t>
      </w:r>
      <w:r w:rsidR="00D57C2D" w:rsidRPr="001A74D9">
        <w:rPr>
          <w:rFonts w:ascii="Verdana" w:hAnsi="Verdana"/>
          <w:sz w:val="26"/>
          <w:szCs w:val="26"/>
        </w:rPr>
        <w:t xml:space="preserve"> </w:t>
      </w:r>
      <w:r w:rsidR="003A4229" w:rsidRPr="001A74D9">
        <w:rPr>
          <w:rFonts w:ascii="Verdana" w:hAnsi="Verdana"/>
          <w:sz w:val="26"/>
          <w:szCs w:val="26"/>
        </w:rPr>
        <w:t>p</w:t>
      </w:r>
      <w:r w:rsidR="00D57C2D" w:rsidRPr="001A74D9">
        <w:rPr>
          <w:rFonts w:ascii="Verdana" w:hAnsi="Verdana"/>
          <w:sz w:val="26"/>
          <w:szCs w:val="26"/>
        </w:rPr>
        <w:t>er la geografia associata agli attori in gioco, il rischio è quello di un forte trasferimento di ricchezza tra Unione europea (un sistema ancora incentrato sui fornitori di connettività) e Stati Uniti o altri Paesi emergenti, maggiormente orientati su un’innovazione “fuori dalle reti”.</w:t>
      </w:r>
    </w:p>
    <w:p w:rsidR="00D57C2D" w:rsidRPr="001A74D9" w:rsidRDefault="00D57C2D" w:rsidP="001A74D9">
      <w:pPr>
        <w:spacing w:after="0" w:line="360" w:lineRule="auto"/>
        <w:jc w:val="both"/>
        <w:rPr>
          <w:rFonts w:ascii="Verdana" w:hAnsi="Verdana"/>
          <w:sz w:val="26"/>
          <w:szCs w:val="26"/>
        </w:rPr>
      </w:pPr>
      <w:r w:rsidRPr="001A74D9">
        <w:rPr>
          <w:rFonts w:ascii="Verdana" w:hAnsi="Verdana"/>
          <w:sz w:val="26"/>
          <w:szCs w:val="26"/>
        </w:rPr>
        <w:t>L’ecosistema digitale è dunque vulnerabile per gli attori tradizionali</w:t>
      </w:r>
      <w:r w:rsidR="00301AFC" w:rsidRPr="001A74D9">
        <w:rPr>
          <w:rFonts w:ascii="Verdana" w:hAnsi="Verdana"/>
          <w:sz w:val="26"/>
          <w:szCs w:val="26"/>
        </w:rPr>
        <w:t>;</w:t>
      </w:r>
      <w:r w:rsidRPr="001A74D9">
        <w:rPr>
          <w:rFonts w:ascii="Verdana" w:hAnsi="Verdana"/>
          <w:sz w:val="26"/>
          <w:szCs w:val="26"/>
        </w:rPr>
        <w:t xml:space="preserve"> l’Europa, nella sua strategia di Agenda </w:t>
      </w:r>
      <w:r w:rsidR="00301AFC" w:rsidRPr="001A74D9">
        <w:rPr>
          <w:rFonts w:ascii="Verdana" w:hAnsi="Verdana"/>
          <w:sz w:val="26"/>
          <w:szCs w:val="26"/>
        </w:rPr>
        <w:t>d</w:t>
      </w:r>
      <w:r w:rsidRPr="001A74D9">
        <w:rPr>
          <w:rFonts w:ascii="Verdana" w:hAnsi="Verdana"/>
          <w:sz w:val="26"/>
          <w:szCs w:val="26"/>
        </w:rPr>
        <w:t xml:space="preserve">igitale, deve porsi senza falsi pudori anche l’obiettivo di promuovere un ambiente fertile per lo sviluppo di imprese competitive con gli </w:t>
      </w:r>
      <w:r w:rsidR="00301AFC" w:rsidRPr="001A74D9">
        <w:rPr>
          <w:rFonts w:ascii="Verdana" w:hAnsi="Verdana"/>
          <w:i/>
          <w:sz w:val="26"/>
          <w:szCs w:val="26"/>
        </w:rPr>
        <w:t>O</w:t>
      </w:r>
      <w:r w:rsidRPr="001A74D9">
        <w:rPr>
          <w:rFonts w:ascii="Verdana" w:hAnsi="Verdana"/>
          <w:i/>
          <w:sz w:val="26"/>
          <w:szCs w:val="26"/>
        </w:rPr>
        <w:t>ver the top</w:t>
      </w:r>
      <w:r w:rsidRPr="001A74D9">
        <w:rPr>
          <w:rFonts w:ascii="Verdana" w:hAnsi="Verdana"/>
          <w:sz w:val="26"/>
          <w:szCs w:val="26"/>
        </w:rPr>
        <w:t xml:space="preserve">. </w:t>
      </w:r>
    </w:p>
    <w:p w:rsidR="00D57C2D" w:rsidRPr="001A74D9" w:rsidRDefault="00D57C2D" w:rsidP="001A74D9">
      <w:pPr>
        <w:spacing w:after="0" w:line="360" w:lineRule="auto"/>
        <w:jc w:val="both"/>
        <w:rPr>
          <w:rFonts w:ascii="Verdana" w:hAnsi="Verdana"/>
          <w:sz w:val="26"/>
          <w:szCs w:val="26"/>
        </w:rPr>
      </w:pPr>
      <w:r w:rsidRPr="001A74D9">
        <w:rPr>
          <w:rFonts w:ascii="Verdana" w:hAnsi="Verdana"/>
          <w:sz w:val="26"/>
          <w:szCs w:val="26"/>
        </w:rPr>
        <w:t xml:space="preserve">Nessun rigurgito protezionista che, obsoleto, sarebbe destinato al fallimento, ma più attenzione a quegli aspetti delle “regole” (in senso </w:t>
      </w:r>
      <w:r w:rsidRPr="001A74D9">
        <w:rPr>
          <w:rFonts w:ascii="Verdana" w:hAnsi="Verdana"/>
          <w:sz w:val="26"/>
          <w:szCs w:val="26"/>
        </w:rPr>
        <w:lastRenderedPageBreak/>
        <w:t>lato), che possono far giocare la partita ad armi pari, salvaguardando investimenti e innovazione.</w:t>
      </w:r>
      <w:r w:rsidR="00690921" w:rsidRPr="001A74D9">
        <w:rPr>
          <w:rFonts w:ascii="Verdana" w:hAnsi="Verdana"/>
          <w:sz w:val="26"/>
          <w:szCs w:val="26"/>
        </w:rPr>
        <w:t xml:space="preserve"> Anche favorendo accordi ai vari livelli della filiera.</w:t>
      </w:r>
    </w:p>
    <w:p w:rsidR="00D57C2D" w:rsidRPr="001A74D9" w:rsidRDefault="00D57C2D" w:rsidP="001A74D9">
      <w:pPr>
        <w:spacing w:after="0" w:line="360" w:lineRule="auto"/>
        <w:jc w:val="both"/>
        <w:rPr>
          <w:rFonts w:ascii="Verdana" w:hAnsi="Verdana"/>
          <w:sz w:val="26"/>
          <w:szCs w:val="26"/>
        </w:rPr>
      </w:pPr>
      <w:r w:rsidRPr="001A74D9">
        <w:rPr>
          <w:rFonts w:ascii="Verdana" w:hAnsi="Verdana"/>
          <w:sz w:val="26"/>
          <w:szCs w:val="26"/>
        </w:rPr>
        <w:t xml:space="preserve">L’importanza delle variabili in gioco appare più chiara se si considera che Internet implica anche dimensioni extra-economiche che toccano libertà fondamentali della persona, dal diritto di informazione alla libertà di espressione. Per non parlare della </w:t>
      </w:r>
      <w:r w:rsidRPr="001A74D9">
        <w:rPr>
          <w:rFonts w:ascii="Verdana" w:hAnsi="Verdana"/>
          <w:i/>
          <w:sz w:val="26"/>
          <w:szCs w:val="26"/>
        </w:rPr>
        <w:t>privacy</w:t>
      </w:r>
      <w:r w:rsidRPr="001A74D9">
        <w:rPr>
          <w:rFonts w:ascii="Verdana" w:hAnsi="Verdana"/>
          <w:sz w:val="26"/>
          <w:szCs w:val="26"/>
        </w:rPr>
        <w:t>.</w:t>
      </w:r>
    </w:p>
    <w:p w:rsidR="00D57C2D" w:rsidRPr="001A74D9" w:rsidRDefault="00D57C2D" w:rsidP="001A74D9">
      <w:pPr>
        <w:spacing w:after="0" w:line="360" w:lineRule="auto"/>
        <w:jc w:val="both"/>
        <w:rPr>
          <w:rFonts w:ascii="Verdana" w:hAnsi="Verdana"/>
          <w:sz w:val="26"/>
          <w:szCs w:val="26"/>
        </w:rPr>
      </w:pPr>
      <w:r w:rsidRPr="001A74D9">
        <w:rPr>
          <w:rFonts w:ascii="Verdana" w:hAnsi="Verdana"/>
          <w:sz w:val="26"/>
          <w:szCs w:val="26"/>
        </w:rPr>
        <w:t>Meno regole per tutti o qualche regola in più a chi oggi non ne ha</w:t>
      </w:r>
      <w:r w:rsidR="00301AFC" w:rsidRPr="001A74D9">
        <w:rPr>
          <w:rFonts w:ascii="Verdana" w:hAnsi="Verdana"/>
          <w:sz w:val="26"/>
          <w:szCs w:val="26"/>
        </w:rPr>
        <w:t>, così da</w:t>
      </w:r>
      <w:r w:rsidRPr="001A74D9">
        <w:rPr>
          <w:rFonts w:ascii="Verdana" w:hAnsi="Verdana"/>
          <w:sz w:val="26"/>
          <w:szCs w:val="26"/>
        </w:rPr>
        <w:t xml:space="preserve"> stabilire un corretto terreno competitivo (</w:t>
      </w:r>
      <w:r w:rsidRPr="001A74D9">
        <w:rPr>
          <w:rFonts w:ascii="Verdana" w:hAnsi="Verdana"/>
          <w:i/>
          <w:sz w:val="26"/>
          <w:szCs w:val="26"/>
        </w:rPr>
        <w:t>level playing field</w:t>
      </w:r>
      <w:r w:rsidRPr="001A74D9">
        <w:rPr>
          <w:rFonts w:ascii="Verdana" w:hAnsi="Verdana"/>
          <w:sz w:val="26"/>
          <w:szCs w:val="26"/>
        </w:rPr>
        <w:t>)? Alzare o abbassare l’asticella delle regole?</w:t>
      </w:r>
      <w:r w:rsidRPr="001A74D9">
        <w:rPr>
          <w:rStyle w:val="Rimandonotaapidipagina"/>
          <w:rFonts w:ascii="Verdana" w:hAnsi="Verdana"/>
          <w:sz w:val="26"/>
          <w:szCs w:val="26"/>
        </w:rPr>
        <w:footnoteReference w:id="18"/>
      </w:r>
      <w:r w:rsidRPr="001A74D9">
        <w:rPr>
          <w:rFonts w:ascii="Verdana" w:hAnsi="Verdana"/>
          <w:sz w:val="26"/>
          <w:szCs w:val="26"/>
        </w:rPr>
        <w:t xml:space="preserve"> </w:t>
      </w:r>
    </w:p>
    <w:p w:rsidR="00D57C2D" w:rsidRPr="001A74D9" w:rsidRDefault="00D57C2D" w:rsidP="001A74D9">
      <w:pPr>
        <w:spacing w:after="0" w:line="360" w:lineRule="auto"/>
        <w:jc w:val="both"/>
        <w:rPr>
          <w:rFonts w:ascii="Verdana" w:hAnsi="Verdana"/>
          <w:sz w:val="26"/>
          <w:szCs w:val="26"/>
        </w:rPr>
      </w:pPr>
      <w:r w:rsidRPr="001A74D9">
        <w:rPr>
          <w:rFonts w:ascii="Verdana" w:hAnsi="Verdana"/>
          <w:sz w:val="26"/>
          <w:szCs w:val="26"/>
        </w:rPr>
        <w:t>Da una parte, non è un caso che gli OTT si siano sviluppati in ambienti con minori vincoli normativi</w:t>
      </w:r>
      <w:r w:rsidR="00301AFC" w:rsidRPr="001A74D9">
        <w:rPr>
          <w:rFonts w:ascii="Verdana" w:hAnsi="Verdana"/>
          <w:sz w:val="26"/>
          <w:szCs w:val="26"/>
        </w:rPr>
        <w:t>;</w:t>
      </w:r>
      <w:r w:rsidRPr="001A74D9">
        <w:rPr>
          <w:rFonts w:ascii="Verdana" w:hAnsi="Verdana"/>
          <w:sz w:val="26"/>
          <w:szCs w:val="26"/>
        </w:rPr>
        <w:t xml:space="preserve"> dall’altra, alcune di quelle che sembrano zavorre per le tlc, come il rispetto di requisiti di </w:t>
      </w:r>
      <w:r w:rsidRPr="001A74D9">
        <w:rPr>
          <w:rFonts w:ascii="Verdana" w:hAnsi="Verdana"/>
          <w:i/>
          <w:sz w:val="26"/>
          <w:szCs w:val="26"/>
        </w:rPr>
        <w:t>privacy</w:t>
      </w:r>
      <w:r w:rsidRPr="001A74D9">
        <w:rPr>
          <w:rFonts w:ascii="Verdana" w:hAnsi="Verdana"/>
          <w:sz w:val="26"/>
          <w:szCs w:val="26"/>
        </w:rPr>
        <w:t xml:space="preserve"> e sicurezza, possono divenire fattori di successo nell’offerta di servizi di </w:t>
      </w:r>
      <w:r w:rsidRPr="001A74D9">
        <w:rPr>
          <w:rFonts w:ascii="Verdana" w:hAnsi="Verdana"/>
          <w:i/>
          <w:sz w:val="26"/>
          <w:szCs w:val="26"/>
        </w:rPr>
        <w:t>cloud computing</w:t>
      </w:r>
      <w:r w:rsidRPr="001A74D9">
        <w:rPr>
          <w:rFonts w:ascii="Verdana" w:hAnsi="Verdana"/>
          <w:sz w:val="26"/>
          <w:szCs w:val="26"/>
        </w:rPr>
        <w:t xml:space="preserve"> e identità digitale in quanto percepiti come più affidabili.</w:t>
      </w:r>
    </w:p>
    <w:p w:rsidR="00D57C2D" w:rsidRPr="001A74D9" w:rsidRDefault="00D57C2D" w:rsidP="001A74D9">
      <w:pPr>
        <w:spacing w:after="0" w:line="360" w:lineRule="auto"/>
        <w:jc w:val="both"/>
        <w:rPr>
          <w:rFonts w:ascii="Verdana" w:hAnsi="Verdana"/>
          <w:sz w:val="26"/>
          <w:szCs w:val="26"/>
        </w:rPr>
      </w:pPr>
      <w:r w:rsidRPr="001A74D9">
        <w:rPr>
          <w:rFonts w:ascii="Verdana" w:hAnsi="Verdana"/>
          <w:sz w:val="26"/>
          <w:szCs w:val="26"/>
        </w:rPr>
        <w:t xml:space="preserve">Il tema della neutralità della rete, ad esempio, può consentire una prima presa di responsabilità a livello comunitario verso una maggiore apertura allo sviluppo di modelli di </w:t>
      </w:r>
      <w:r w:rsidRPr="001A74D9">
        <w:rPr>
          <w:rFonts w:ascii="Verdana" w:hAnsi="Verdana"/>
          <w:i/>
          <w:sz w:val="26"/>
          <w:szCs w:val="26"/>
        </w:rPr>
        <w:t>business</w:t>
      </w:r>
      <w:r w:rsidRPr="001A74D9">
        <w:rPr>
          <w:rFonts w:ascii="Verdana" w:hAnsi="Verdana"/>
          <w:sz w:val="26"/>
          <w:szCs w:val="26"/>
        </w:rPr>
        <w:t xml:space="preserve"> basati sulla qualità con offerta trasparente di servizi a traffico gestito, in parallelo al mantenimento di una robusta rete Internet </w:t>
      </w:r>
      <w:r w:rsidRPr="001A74D9">
        <w:rPr>
          <w:rFonts w:ascii="Verdana" w:hAnsi="Verdana"/>
          <w:i/>
          <w:sz w:val="26"/>
          <w:szCs w:val="26"/>
        </w:rPr>
        <w:t>best-effort</w:t>
      </w:r>
      <w:r w:rsidRPr="001A74D9">
        <w:rPr>
          <w:rFonts w:ascii="Verdana" w:hAnsi="Verdana"/>
          <w:sz w:val="26"/>
          <w:szCs w:val="26"/>
        </w:rPr>
        <w:t xml:space="preserve"> disponibile per tutti</w:t>
      </w:r>
      <w:r w:rsidRPr="001A74D9">
        <w:rPr>
          <w:rStyle w:val="Rimandonotaapidipagina"/>
          <w:rFonts w:ascii="Verdana" w:hAnsi="Verdana"/>
          <w:sz w:val="26"/>
          <w:szCs w:val="26"/>
        </w:rPr>
        <w:footnoteReference w:id="19"/>
      </w:r>
      <w:r w:rsidRPr="001A74D9">
        <w:rPr>
          <w:rFonts w:ascii="Verdana" w:hAnsi="Verdana"/>
          <w:sz w:val="26"/>
          <w:szCs w:val="26"/>
        </w:rPr>
        <w:t>.</w:t>
      </w:r>
    </w:p>
    <w:p w:rsidR="00D57C2D" w:rsidRPr="001A74D9" w:rsidRDefault="00D57C2D" w:rsidP="001A74D9">
      <w:pPr>
        <w:spacing w:after="0" w:line="360" w:lineRule="auto"/>
        <w:jc w:val="both"/>
        <w:rPr>
          <w:rFonts w:ascii="Verdana" w:hAnsi="Verdana"/>
          <w:sz w:val="26"/>
          <w:szCs w:val="26"/>
        </w:rPr>
      </w:pPr>
      <w:r w:rsidRPr="001A74D9">
        <w:rPr>
          <w:rFonts w:ascii="Verdana" w:hAnsi="Verdana"/>
          <w:sz w:val="26"/>
          <w:szCs w:val="26"/>
        </w:rPr>
        <w:t xml:space="preserve">Sono solo spunti per un dibattito che è ancora lontano da una sintesi costruttiva, ma che richiede un po’ più di coraggio da parte di tutti gli attori coinvolti. Con la barra salda sull’obiettivo di promuovere l’innovazione delle reti e dei servizi e di far partecipare cittadini e imprese ai benefici indotti.  </w:t>
      </w:r>
    </w:p>
    <w:p w:rsidR="00D57C2D" w:rsidRPr="001A74D9" w:rsidRDefault="00301AFC" w:rsidP="001A74D9">
      <w:pPr>
        <w:spacing w:after="0" w:line="360" w:lineRule="auto"/>
        <w:jc w:val="both"/>
        <w:rPr>
          <w:rFonts w:ascii="Verdana" w:hAnsi="Verdana"/>
          <w:sz w:val="26"/>
          <w:szCs w:val="26"/>
        </w:rPr>
      </w:pPr>
      <w:r w:rsidRPr="001A74D9">
        <w:rPr>
          <w:rFonts w:ascii="Verdana" w:hAnsi="Verdana"/>
          <w:sz w:val="26"/>
          <w:szCs w:val="26"/>
        </w:rPr>
        <w:lastRenderedPageBreak/>
        <w:t>In questo senso</w:t>
      </w:r>
      <w:r w:rsidR="00D57C2D" w:rsidRPr="001A74D9">
        <w:rPr>
          <w:rFonts w:ascii="Verdana" w:hAnsi="Verdana"/>
          <w:sz w:val="26"/>
          <w:szCs w:val="26"/>
        </w:rPr>
        <w:t xml:space="preserve"> AGCOM, come regolatore indipendente, può e intende dare il suo contributo nelle </w:t>
      </w:r>
      <w:r w:rsidRPr="001A74D9">
        <w:rPr>
          <w:rFonts w:ascii="Verdana" w:hAnsi="Verdana"/>
          <w:sz w:val="26"/>
          <w:szCs w:val="26"/>
        </w:rPr>
        <w:t>appropriate</w:t>
      </w:r>
      <w:r w:rsidR="00D57C2D" w:rsidRPr="001A74D9">
        <w:rPr>
          <w:rFonts w:ascii="Verdana" w:hAnsi="Verdana"/>
          <w:sz w:val="26"/>
          <w:szCs w:val="26"/>
        </w:rPr>
        <w:t xml:space="preserve"> sedi nazionali e comunitarie, nell’ambito di una corretta dialettica tra “decisore politico” e “decisore tecnico”. Lo sprone che questa Autorità ha rappresentato per l’istituzione di un’Agenda digitale per l’Italia e per la creazione di una cabina di regia è </w:t>
      </w:r>
      <w:r w:rsidRPr="001A74D9">
        <w:rPr>
          <w:rFonts w:ascii="Verdana" w:hAnsi="Verdana"/>
          <w:sz w:val="26"/>
          <w:szCs w:val="26"/>
        </w:rPr>
        <w:t>sotto gli occhi di tutti</w:t>
      </w:r>
      <w:r w:rsidR="00D57C2D" w:rsidRPr="001A74D9">
        <w:rPr>
          <w:rFonts w:ascii="Verdana" w:hAnsi="Verdana"/>
          <w:sz w:val="26"/>
          <w:szCs w:val="26"/>
        </w:rPr>
        <w:t>. Al tempo stesso non si può non sottolineare come il Parlamento ed il Governo spesso facciano un “</w:t>
      </w:r>
      <w:r w:rsidR="00D57C2D" w:rsidRPr="001A74D9">
        <w:rPr>
          <w:rFonts w:ascii="Verdana" w:hAnsi="Verdana"/>
          <w:i/>
          <w:sz w:val="26"/>
          <w:szCs w:val="26"/>
        </w:rPr>
        <w:t>uso distratto delle relazioni e delle segnalazioni trasmesse dalle autorità indipendenti</w:t>
      </w:r>
      <w:r w:rsidR="00D57C2D" w:rsidRPr="001A74D9">
        <w:rPr>
          <w:rFonts w:ascii="Verdana" w:hAnsi="Verdana"/>
          <w:sz w:val="26"/>
          <w:szCs w:val="26"/>
        </w:rPr>
        <w:t>”</w:t>
      </w:r>
      <w:r w:rsidR="00390BE2" w:rsidRPr="001A74D9">
        <w:rPr>
          <w:rFonts w:ascii="Verdana" w:hAnsi="Verdana"/>
          <w:sz w:val="26"/>
          <w:szCs w:val="26"/>
        </w:rPr>
        <w:t>,</w:t>
      </w:r>
      <w:r w:rsidR="00D57C2D" w:rsidRPr="001A74D9">
        <w:rPr>
          <w:rFonts w:ascii="Verdana" w:hAnsi="Verdana"/>
          <w:sz w:val="26"/>
          <w:szCs w:val="26"/>
        </w:rPr>
        <w:t xml:space="preserve"> nel canale cd. </w:t>
      </w:r>
      <w:r w:rsidR="00390BE2" w:rsidRPr="001A74D9">
        <w:rPr>
          <w:rFonts w:ascii="Verdana" w:hAnsi="Verdana"/>
          <w:sz w:val="26"/>
          <w:szCs w:val="26"/>
        </w:rPr>
        <w:t>a</w:t>
      </w:r>
      <w:r w:rsidR="00D57C2D" w:rsidRPr="001A74D9">
        <w:rPr>
          <w:rFonts w:ascii="Verdana" w:hAnsi="Verdana"/>
          <w:sz w:val="26"/>
          <w:szCs w:val="26"/>
        </w:rPr>
        <w:t>scendente</w:t>
      </w:r>
      <w:r w:rsidR="00390BE2" w:rsidRPr="001A74D9">
        <w:rPr>
          <w:rFonts w:ascii="Verdana" w:hAnsi="Verdana"/>
          <w:sz w:val="26"/>
          <w:szCs w:val="26"/>
        </w:rPr>
        <w:t>:</w:t>
      </w:r>
      <w:r w:rsidR="00D57C2D" w:rsidRPr="001A74D9">
        <w:rPr>
          <w:rFonts w:ascii="Verdana" w:hAnsi="Verdana"/>
          <w:sz w:val="26"/>
          <w:szCs w:val="26"/>
        </w:rPr>
        <w:t xml:space="preserve"> non sono parole mie, è il testo della rece</w:t>
      </w:r>
      <w:r w:rsidRPr="001A74D9">
        <w:rPr>
          <w:rFonts w:ascii="Verdana" w:hAnsi="Verdana"/>
          <w:sz w:val="26"/>
          <w:szCs w:val="26"/>
        </w:rPr>
        <w:t>nte indagine conoscitiva sulle A</w:t>
      </w:r>
      <w:r w:rsidR="00D57C2D" w:rsidRPr="001A74D9">
        <w:rPr>
          <w:rFonts w:ascii="Verdana" w:hAnsi="Verdana"/>
          <w:sz w:val="26"/>
          <w:szCs w:val="26"/>
        </w:rPr>
        <w:t xml:space="preserve">utorità amministrative </w:t>
      </w:r>
      <w:r w:rsidRPr="001A74D9">
        <w:rPr>
          <w:rFonts w:ascii="Verdana" w:hAnsi="Verdana"/>
          <w:sz w:val="26"/>
          <w:szCs w:val="26"/>
        </w:rPr>
        <w:t>indipendenti della Commissione A</w:t>
      </w:r>
      <w:r w:rsidR="00D57C2D" w:rsidRPr="001A74D9">
        <w:rPr>
          <w:rFonts w:ascii="Verdana" w:hAnsi="Verdana"/>
          <w:sz w:val="26"/>
          <w:szCs w:val="26"/>
        </w:rPr>
        <w:t xml:space="preserve">ffari costituzionali della Camera.  </w:t>
      </w:r>
    </w:p>
    <w:p w:rsidR="00D57C2D" w:rsidRPr="001A74D9" w:rsidRDefault="00D57C2D" w:rsidP="001A74D9">
      <w:pPr>
        <w:spacing w:after="0" w:line="360" w:lineRule="auto"/>
        <w:jc w:val="both"/>
        <w:rPr>
          <w:rFonts w:ascii="Verdana" w:hAnsi="Verdana"/>
          <w:sz w:val="26"/>
          <w:szCs w:val="26"/>
        </w:rPr>
      </w:pPr>
      <w:r w:rsidRPr="001A74D9">
        <w:rPr>
          <w:rFonts w:ascii="Verdana" w:hAnsi="Verdana"/>
          <w:sz w:val="26"/>
          <w:szCs w:val="26"/>
        </w:rPr>
        <w:t>Non si tratta di invadere il campo delle scelte strategiche che sono proprie delle politiche pubbliche, e, conseguentemente</w:t>
      </w:r>
      <w:r w:rsidR="00301AFC" w:rsidRPr="001A74D9">
        <w:rPr>
          <w:rFonts w:ascii="Verdana" w:hAnsi="Verdana"/>
          <w:sz w:val="26"/>
          <w:szCs w:val="26"/>
        </w:rPr>
        <w:t>, delle</w:t>
      </w:r>
      <w:r w:rsidRPr="001A74D9">
        <w:rPr>
          <w:rFonts w:ascii="Verdana" w:hAnsi="Verdana"/>
          <w:sz w:val="26"/>
          <w:szCs w:val="26"/>
        </w:rPr>
        <w:t xml:space="preserve"> cariche elettive; ma non si può non riconoscere che, oggi, dopo più di vent’anni di esistenza, le </w:t>
      </w:r>
      <w:r w:rsidR="00301AFC" w:rsidRPr="001A74D9">
        <w:rPr>
          <w:rFonts w:ascii="Verdana" w:hAnsi="Verdana"/>
          <w:sz w:val="26"/>
          <w:szCs w:val="26"/>
        </w:rPr>
        <w:t>A</w:t>
      </w:r>
      <w:r w:rsidRPr="001A74D9">
        <w:rPr>
          <w:rFonts w:ascii="Verdana" w:hAnsi="Verdana"/>
          <w:sz w:val="26"/>
          <w:szCs w:val="26"/>
        </w:rPr>
        <w:t>utorità indipendenti, per l’</w:t>
      </w:r>
      <w:r w:rsidRPr="001A74D9">
        <w:rPr>
          <w:rFonts w:ascii="Verdana" w:hAnsi="Verdana"/>
          <w:i/>
          <w:sz w:val="26"/>
          <w:szCs w:val="26"/>
        </w:rPr>
        <w:t>expertise</w:t>
      </w:r>
      <w:r w:rsidRPr="001A74D9">
        <w:rPr>
          <w:rFonts w:ascii="Verdana" w:hAnsi="Verdana"/>
          <w:sz w:val="26"/>
          <w:szCs w:val="26"/>
        </w:rPr>
        <w:t xml:space="preserve"> professionale maturato e l’indipendenza tanto dall’indirizzo politico quanto dal mercato, sono sempre di più centrali nel dibattito sulle regole dei nuovi mercati e sulla tutela dei nuovi diritti</w:t>
      </w:r>
      <w:r w:rsidRPr="001A74D9">
        <w:rPr>
          <w:rStyle w:val="Rimandonotaapidipagina"/>
          <w:rFonts w:ascii="Verdana" w:hAnsi="Verdana"/>
          <w:sz w:val="26"/>
          <w:szCs w:val="26"/>
        </w:rPr>
        <w:footnoteReference w:id="20"/>
      </w:r>
      <w:r w:rsidRPr="001A74D9">
        <w:rPr>
          <w:rFonts w:ascii="Verdana" w:hAnsi="Verdana"/>
          <w:sz w:val="26"/>
          <w:szCs w:val="26"/>
        </w:rPr>
        <w:t xml:space="preserve">. </w:t>
      </w:r>
    </w:p>
    <w:p w:rsidR="00D57C2D" w:rsidRPr="001A74D9" w:rsidRDefault="00301AFC" w:rsidP="001A74D9">
      <w:pPr>
        <w:spacing w:after="0" w:line="360" w:lineRule="auto"/>
        <w:jc w:val="both"/>
        <w:rPr>
          <w:rFonts w:ascii="Verdana" w:hAnsi="Verdana"/>
          <w:sz w:val="26"/>
          <w:szCs w:val="26"/>
        </w:rPr>
      </w:pPr>
      <w:r w:rsidRPr="001A74D9">
        <w:rPr>
          <w:rFonts w:ascii="Verdana" w:hAnsi="Verdana"/>
          <w:sz w:val="26"/>
          <w:szCs w:val="26"/>
        </w:rPr>
        <w:t>La necessità</w:t>
      </w:r>
      <w:r w:rsidR="00D57C2D" w:rsidRPr="001A74D9">
        <w:rPr>
          <w:rFonts w:ascii="Verdana" w:hAnsi="Verdana"/>
          <w:sz w:val="26"/>
          <w:szCs w:val="26"/>
        </w:rPr>
        <w:t xml:space="preserve"> di s</w:t>
      </w:r>
      <w:r w:rsidR="001D6023" w:rsidRPr="001A74D9">
        <w:rPr>
          <w:rFonts w:ascii="Verdana" w:hAnsi="Verdana"/>
          <w:sz w:val="26"/>
          <w:szCs w:val="26"/>
        </w:rPr>
        <w:t>viluppare reti totalmente nuove</w:t>
      </w:r>
      <w:r w:rsidR="00D57C2D" w:rsidRPr="001A74D9">
        <w:rPr>
          <w:rFonts w:ascii="Verdana" w:hAnsi="Verdana"/>
          <w:sz w:val="26"/>
          <w:szCs w:val="26"/>
        </w:rPr>
        <w:t xml:space="preserve"> </w:t>
      </w:r>
      <w:r w:rsidR="00390BE2" w:rsidRPr="001A74D9">
        <w:rPr>
          <w:rFonts w:ascii="Verdana" w:hAnsi="Verdana"/>
          <w:sz w:val="26"/>
          <w:szCs w:val="26"/>
        </w:rPr>
        <w:t>–</w:t>
      </w:r>
      <w:r w:rsidR="001D6023" w:rsidRPr="001A74D9">
        <w:rPr>
          <w:rFonts w:ascii="Verdana" w:hAnsi="Verdana"/>
          <w:sz w:val="26"/>
          <w:szCs w:val="26"/>
        </w:rPr>
        <w:t xml:space="preserve"> fisse e mobili </w:t>
      </w:r>
      <w:r w:rsidR="00390BE2" w:rsidRPr="001A74D9">
        <w:rPr>
          <w:rFonts w:ascii="Verdana" w:hAnsi="Verdana"/>
          <w:sz w:val="26"/>
          <w:szCs w:val="26"/>
        </w:rPr>
        <w:t>–</w:t>
      </w:r>
      <w:r w:rsidR="001D6023" w:rsidRPr="001A74D9">
        <w:rPr>
          <w:rFonts w:ascii="Verdana" w:hAnsi="Verdana"/>
          <w:sz w:val="26"/>
          <w:szCs w:val="26"/>
        </w:rPr>
        <w:t xml:space="preserve"> </w:t>
      </w:r>
      <w:r w:rsidR="00D57C2D" w:rsidRPr="001A74D9">
        <w:rPr>
          <w:rFonts w:ascii="Verdana" w:hAnsi="Verdana"/>
          <w:sz w:val="26"/>
          <w:szCs w:val="26"/>
        </w:rPr>
        <w:t xml:space="preserve">rendendo centrale il problema della promozione degli investimenti, evidenzia per le </w:t>
      </w:r>
      <w:r w:rsidRPr="001A74D9">
        <w:rPr>
          <w:rFonts w:ascii="Verdana" w:hAnsi="Verdana"/>
          <w:sz w:val="26"/>
          <w:szCs w:val="26"/>
        </w:rPr>
        <w:t>A</w:t>
      </w:r>
      <w:r w:rsidR="00D57C2D" w:rsidRPr="001A74D9">
        <w:rPr>
          <w:rFonts w:ascii="Verdana" w:hAnsi="Verdana"/>
          <w:sz w:val="26"/>
          <w:szCs w:val="26"/>
        </w:rPr>
        <w:t xml:space="preserve">utorità di regolazione un nuovo e più complesso ruolo di </w:t>
      </w:r>
      <w:r w:rsidR="005919AF" w:rsidRPr="001A74D9">
        <w:rPr>
          <w:rFonts w:ascii="Verdana" w:hAnsi="Verdana"/>
          <w:i/>
          <w:sz w:val="26"/>
          <w:szCs w:val="26"/>
        </w:rPr>
        <w:t>governanc</w:t>
      </w:r>
      <w:r w:rsidR="00390BE2" w:rsidRPr="001A74D9">
        <w:rPr>
          <w:rFonts w:ascii="Verdana" w:hAnsi="Verdana"/>
          <w:i/>
          <w:sz w:val="26"/>
          <w:szCs w:val="26"/>
        </w:rPr>
        <w:t>e</w:t>
      </w:r>
      <w:r w:rsidR="00D57C2D" w:rsidRPr="001A74D9">
        <w:rPr>
          <w:rFonts w:ascii="Verdana" w:hAnsi="Verdana"/>
          <w:sz w:val="26"/>
          <w:szCs w:val="26"/>
        </w:rPr>
        <w:t xml:space="preserve"> delle reti e di “garante” degli investimenti, allontanando la prospettiva della loro trasformazione in semplici guardiani della concorrenza. Con buona pace di chi, invece, vorrebbe limitarne l’ambito di azione, dimenticando sia il dato giuridico – le </w:t>
      </w:r>
      <w:r w:rsidRPr="001A74D9">
        <w:rPr>
          <w:rFonts w:ascii="Verdana" w:hAnsi="Verdana"/>
          <w:sz w:val="26"/>
          <w:szCs w:val="26"/>
        </w:rPr>
        <w:t>A</w:t>
      </w:r>
      <w:r w:rsidR="00D57C2D" w:rsidRPr="001A74D9">
        <w:rPr>
          <w:rFonts w:ascii="Verdana" w:hAnsi="Verdana"/>
          <w:sz w:val="26"/>
          <w:szCs w:val="26"/>
        </w:rPr>
        <w:t>utorità si inscrivono pienamente nell’ordinamento giuridico nazionale ed europeo che ne definiscono prerogative e strumenti di azione -, sia il dato fattuale</w:t>
      </w:r>
      <w:r w:rsidRPr="001A74D9">
        <w:rPr>
          <w:rFonts w:ascii="Verdana" w:hAnsi="Verdana"/>
          <w:sz w:val="26"/>
          <w:szCs w:val="26"/>
        </w:rPr>
        <w:t xml:space="preserve">: si </w:t>
      </w:r>
      <w:r w:rsidRPr="001A74D9">
        <w:rPr>
          <w:rFonts w:ascii="Verdana" w:hAnsi="Verdana"/>
          <w:sz w:val="26"/>
          <w:szCs w:val="26"/>
        </w:rPr>
        <w:lastRenderedPageBreak/>
        <w:t>tratta di I</w:t>
      </w:r>
      <w:r w:rsidR="00D57C2D" w:rsidRPr="001A74D9">
        <w:rPr>
          <w:rFonts w:ascii="Verdana" w:hAnsi="Verdana"/>
          <w:sz w:val="26"/>
          <w:szCs w:val="26"/>
        </w:rPr>
        <w:t xml:space="preserve">stituzioni </w:t>
      </w:r>
      <w:r w:rsidRPr="001A74D9">
        <w:rPr>
          <w:rFonts w:ascii="Verdana" w:hAnsi="Verdana"/>
          <w:sz w:val="26"/>
          <w:szCs w:val="26"/>
        </w:rPr>
        <w:t xml:space="preserve">che </w:t>
      </w:r>
      <w:r w:rsidR="00D57C2D" w:rsidRPr="001A74D9">
        <w:rPr>
          <w:rFonts w:ascii="Verdana" w:hAnsi="Verdana"/>
          <w:sz w:val="26"/>
          <w:szCs w:val="26"/>
        </w:rPr>
        <w:t xml:space="preserve">hanno maturato una competenza tecnica che si è evoluta in parallelo all’evoluzione dei mercati e che ne fa osservatori privilegiati delle dinamiche in atto.     </w:t>
      </w:r>
    </w:p>
    <w:p w:rsidR="00F56D00" w:rsidRPr="001A74D9" w:rsidRDefault="004560A8" w:rsidP="001A74D9">
      <w:pPr>
        <w:spacing w:after="0" w:line="360" w:lineRule="auto"/>
        <w:jc w:val="both"/>
        <w:rPr>
          <w:rFonts w:ascii="Verdana" w:hAnsi="Verdana"/>
          <w:sz w:val="26"/>
          <w:szCs w:val="26"/>
        </w:rPr>
      </w:pPr>
      <w:r w:rsidRPr="001A74D9">
        <w:rPr>
          <w:rFonts w:ascii="Verdana" w:hAnsi="Verdana"/>
          <w:sz w:val="26"/>
          <w:szCs w:val="26"/>
        </w:rPr>
        <w:t>Paradigmatica è l</w:t>
      </w:r>
      <w:r w:rsidR="00F56D00" w:rsidRPr="001A74D9">
        <w:rPr>
          <w:rFonts w:ascii="Verdana" w:hAnsi="Verdana"/>
          <w:sz w:val="26"/>
          <w:szCs w:val="26"/>
        </w:rPr>
        <w:t xml:space="preserve">a vicenda dell’emendamento </w:t>
      </w:r>
      <w:r w:rsidR="009B7B0F" w:rsidRPr="001A74D9">
        <w:rPr>
          <w:rFonts w:ascii="Verdana" w:hAnsi="Verdana"/>
          <w:sz w:val="26"/>
          <w:szCs w:val="26"/>
        </w:rPr>
        <w:t xml:space="preserve">parlamentare </w:t>
      </w:r>
      <w:r w:rsidR="00F56D00" w:rsidRPr="001A74D9">
        <w:rPr>
          <w:rFonts w:ascii="Verdana" w:hAnsi="Verdana"/>
          <w:sz w:val="26"/>
          <w:szCs w:val="26"/>
        </w:rPr>
        <w:t>presentato alla legge di conversion</w:t>
      </w:r>
      <w:r w:rsidRPr="001A74D9">
        <w:rPr>
          <w:rFonts w:ascii="Verdana" w:hAnsi="Verdana"/>
          <w:sz w:val="26"/>
          <w:szCs w:val="26"/>
        </w:rPr>
        <w:t>e del decreto “Semplificazioni”: un emendamento invasivo delle competenze dell’AGCOM e non rispettoso del quadro regolatorio comunitario</w:t>
      </w:r>
      <w:r w:rsidR="00D91F01" w:rsidRPr="001A74D9">
        <w:rPr>
          <w:rStyle w:val="Rimandonotaapidipagina"/>
          <w:rFonts w:ascii="Verdana" w:hAnsi="Verdana"/>
          <w:sz w:val="26"/>
          <w:szCs w:val="26"/>
        </w:rPr>
        <w:footnoteReference w:id="21"/>
      </w:r>
      <w:r w:rsidR="00F56D00" w:rsidRPr="001A74D9">
        <w:rPr>
          <w:rFonts w:ascii="Verdana" w:hAnsi="Verdana"/>
          <w:sz w:val="26"/>
          <w:szCs w:val="26"/>
        </w:rPr>
        <w:t xml:space="preserve">. </w:t>
      </w:r>
    </w:p>
    <w:p w:rsidR="004560A8" w:rsidRPr="001A74D9" w:rsidRDefault="00D91F01" w:rsidP="001A74D9">
      <w:pPr>
        <w:spacing w:after="0" w:line="360" w:lineRule="auto"/>
        <w:jc w:val="both"/>
        <w:rPr>
          <w:rFonts w:ascii="Verdana" w:hAnsi="Verdana"/>
          <w:sz w:val="26"/>
          <w:szCs w:val="26"/>
        </w:rPr>
      </w:pPr>
      <w:r w:rsidRPr="001A74D9">
        <w:rPr>
          <w:rFonts w:ascii="Verdana" w:hAnsi="Verdana"/>
          <w:sz w:val="26"/>
          <w:szCs w:val="26"/>
        </w:rPr>
        <w:t>I</w:t>
      </w:r>
      <w:r w:rsidR="00113F73" w:rsidRPr="001A74D9">
        <w:rPr>
          <w:rFonts w:ascii="Verdana" w:hAnsi="Verdana"/>
          <w:sz w:val="26"/>
          <w:szCs w:val="26"/>
        </w:rPr>
        <w:t xml:space="preserve">n </w:t>
      </w:r>
      <w:r w:rsidR="00690921" w:rsidRPr="001A74D9">
        <w:rPr>
          <w:rFonts w:ascii="Verdana" w:hAnsi="Verdana"/>
          <w:sz w:val="26"/>
          <w:szCs w:val="26"/>
        </w:rPr>
        <w:t xml:space="preserve">zona Cesarini </w:t>
      </w:r>
      <w:r w:rsidRPr="001A74D9">
        <w:rPr>
          <w:rFonts w:ascii="Verdana" w:hAnsi="Verdana"/>
          <w:sz w:val="26"/>
          <w:szCs w:val="26"/>
        </w:rPr>
        <w:t>stiamo rientrando</w:t>
      </w:r>
      <w:r w:rsidR="004560A8" w:rsidRPr="001A74D9">
        <w:rPr>
          <w:rFonts w:ascii="Verdana" w:hAnsi="Verdana"/>
          <w:sz w:val="26"/>
          <w:szCs w:val="26"/>
        </w:rPr>
        <w:t xml:space="preserve"> nell’ortodossia; ma c’è voluto un intervento della Commissione europea.</w:t>
      </w:r>
    </w:p>
    <w:p w:rsidR="00D57C2D" w:rsidRPr="001A74D9" w:rsidRDefault="004560A8" w:rsidP="001A74D9">
      <w:pPr>
        <w:spacing w:after="0" w:line="360" w:lineRule="auto"/>
        <w:jc w:val="both"/>
        <w:rPr>
          <w:rFonts w:ascii="Verdana" w:hAnsi="Verdana"/>
          <w:sz w:val="26"/>
          <w:szCs w:val="26"/>
        </w:rPr>
      </w:pPr>
      <w:r w:rsidRPr="001A74D9">
        <w:rPr>
          <w:rFonts w:ascii="Verdana" w:hAnsi="Verdana"/>
          <w:sz w:val="26"/>
          <w:szCs w:val="26"/>
        </w:rPr>
        <w:t xml:space="preserve">Devo peraltro dare atto che </w:t>
      </w:r>
      <w:r w:rsidR="00690921" w:rsidRPr="001A74D9">
        <w:rPr>
          <w:rFonts w:ascii="Verdana" w:hAnsi="Verdana"/>
          <w:sz w:val="26"/>
          <w:szCs w:val="26"/>
        </w:rPr>
        <w:t>i</w:t>
      </w:r>
      <w:r w:rsidR="00301AFC" w:rsidRPr="001A74D9">
        <w:rPr>
          <w:rFonts w:ascii="Verdana" w:hAnsi="Verdana"/>
          <w:sz w:val="26"/>
          <w:szCs w:val="26"/>
        </w:rPr>
        <w:t xml:space="preserve">l presidente Monti ha mostrato </w:t>
      </w:r>
      <w:r w:rsidR="009B7B0F" w:rsidRPr="001A74D9">
        <w:rPr>
          <w:rFonts w:ascii="Verdana" w:hAnsi="Verdana"/>
          <w:sz w:val="26"/>
          <w:szCs w:val="26"/>
        </w:rPr>
        <w:t xml:space="preserve">invece </w:t>
      </w:r>
      <w:r w:rsidR="00301AFC" w:rsidRPr="001A74D9">
        <w:rPr>
          <w:rFonts w:ascii="Verdana" w:hAnsi="Verdana"/>
          <w:sz w:val="26"/>
          <w:szCs w:val="26"/>
        </w:rPr>
        <w:t>di apprezzare e valorizzare le indicazioni delle Autorità indipendenti per gli interventi correttivi del mercato.</w:t>
      </w:r>
    </w:p>
    <w:p w:rsidR="00301AFC" w:rsidRPr="001A74D9" w:rsidRDefault="00301AFC" w:rsidP="001A74D9">
      <w:pPr>
        <w:spacing w:after="0" w:line="360" w:lineRule="auto"/>
        <w:jc w:val="both"/>
        <w:rPr>
          <w:rFonts w:ascii="Verdana" w:hAnsi="Verdana"/>
          <w:sz w:val="26"/>
          <w:szCs w:val="26"/>
        </w:rPr>
      </w:pPr>
      <w:r w:rsidRPr="001A74D9">
        <w:rPr>
          <w:rFonts w:ascii="Verdana" w:hAnsi="Verdana"/>
          <w:sz w:val="26"/>
          <w:szCs w:val="26"/>
        </w:rPr>
        <w:t xml:space="preserve">E’ un segnale </w:t>
      </w:r>
      <w:r w:rsidR="0017242C" w:rsidRPr="001A74D9">
        <w:rPr>
          <w:rFonts w:ascii="Verdana" w:hAnsi="Verdana"/>
          <w:sz w:val="26"/>
          <w:szCs w:val="26"/>
        </w:rPr>
        <w:t>incoraggiante</w:t>
      </w:r>
      <w:r w:rsidRPr="001A74D9">
        <w:rPr>
          <w:rFonts w:ascii="Verdana" w:hAnsi="Verdana"/>
          <w:sz w:val="26"/>
          <w:szCs w:val="26"/>
        </w:rPr>
        <w:t xml:space="preserve"> che controbilancia in qualche misura la notazione sconfortante che il maggior presidio dell’indipendenza delle Authorities </w:t>
      </w:r>
      <w:r w:rsidR="0017242C" w:rsidRPr="001A74D9">
        <w:rPr>
          <w:rFonts w:ascii="Verdana" w:hAnsi="Verdana"/>
          <w:sz w:val="26"/>
          <w:szCs w:val="26"/>
        </w:rPr>
        <w:t>viene</w:t>
      </w:r>
      <w:r w:rsidRPr="001A74D9">
        <w:rPr>
          <w:rFonts w:ascii="Verdana" w:hAnsi="Verdana"/>
          <w:sz w:val="26"/>
          <w:szCs w:val="26"/>
        </w:rPr>
        <w:t xml:space="preserve"> </w:t>
      </w:r>
      <w:r w:rsidR="00390BE2" w:rsidRPr="001A74D9">
        <w:rPr>
          <w:rFonts w:ascii="Verdana" w:hAnsi="Verdana"/>
          <w:sz w:val="26"/>
          <w:szCs w:val="26"/>
        </w:rPr>
        <w:t xml:space="preserve">oggi </w:t>
      </w:r>
      <w:r w:rsidRPr="001A74D9">
        <w:rPr>
          <w:rFonts w:ascii="Verdana" w:hAnsi="Verdana"/>
          <w:sz w:val="26"/>
          <w:szCs w:val="26"/>
        </w:rPr>
        <w:t>non dall’ordinamento nazionale ma da quello comunitario.</w:t>
      </w:r>
    </w:p>
    <w:p w:rsidR="00301AFC" w:rsidRPr="001A74D9" w:rsidRDefault="00301AFC" w:rsidP="001A74D9">
      <w:pPr>
        <w:spacing w:after="0" w:line="360" w:lineRule="auto"/>
        <w:jc w:val="both"/>
        <w:rPr>
          <w:rFonts w:ascii="Verdana" w:hAnsi="Verdana"/>
          <w:sz w:val="26"/>
          <w:szCs w:val="26"/>
        </w:rPr>
      </w:pPr>
    </w:p>
    <w:p w:rsidR="00BC3614" w:rsidRPr="001A74D9" w:rsidRDefault="00BC3614" w:rsidP="001A74D9">
      <w:pPr>
        <w:spacing w:after="0" w:line="360" w:lineRule="auto"/>
        <w:ind w:left="4248" w:firstLine="708"/>
        <w:jc w:val="both"/>
        <w:rPr>
          <w:rFonts w:ascii="Verdana" w:hAnsi="Verdana"/>
          <w:sz w:val="26"/>
          <w:szCs w:val="26"/>
        </w:rPr>
      </w:pPr>
      <w:r w:rsidRPr="001A74D9">
        <w:rPr>
          <w:rFonts w:ascii="Verdana" w:hAnsi="Verdana"/>
          <w:sz w:val="26"/>
          <w:szCs w:val="26"/>
        </w:rPr>
        <w:t>Corrado Calabrò</w:t>
      </w:r>
    </w:p>
    <w:sectPr w:rsidR="00BC3614" w:rsidRPr="001A74D9" w:rsidSect="008E79EE">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1E6" w:rsidRDefault="00FF21E6" w:rsidP="00456ED8">
      <w:pPr>
        <w:spacing w:after="0" w:line="240" w:lineRule="auto"/>
      </w:pPr>
      <w:r>
        <w:separator/>
      </w:r>
    </w:p>
  </w:endnote>
  <w:endnote w:type="continuationSeparator" w:id="0">
    <w:p w:rsidR="00FF21E6" w:rsidRDefault="00FF21E6" w:rsidP="00456E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413" w:rsidRDefault="00E06E9B">
    <w:pPr>
      <w:pStyle w:val="Pidipagina"/>
      <w:jc w:val="center"/>
    </w:pPr>
    <w:fldSimple w:instr=" PAGE   \* MERGEFORMAT ">
      <w:r w:rsidR="0031245B">
        <w:rPr>
          <w:noProof/>
        </w:rPr>
        <w:t>1</w:t>
      </w:r>
    </w:fldSimple>
  </w:p>
  <w:p w:rsidR="001C3413" w:rsidRDefault="001C341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1E6" w:rsidRDefault="00FF21E6" w:rsidP="00456ED8">
      <w:pPr>
        <w:spacing w:after="0" w:line="240" w:lineRule="auto"/>
      </w:pPr>
      <w:r>
        <w:separator/>
      </w:r>
    </w:p>
  </w:footnote>
  <w:footnote w:type="continuationSeparator" w:id="0">
    <w:p w:rsidR="00FF21E6" w:rsidRDefault="00FF21E6" w:rsidP="00456ED8">
      <w:pPr>
        <w:spacing w:after="0" w:line="240" w:lineRule="auto"/>
      </w:pPr>
      <w:r>
        <w:continuationSeparator/>
      </w:r>
    </w:p>
  </w:footnote>
  <w:footnote w:id="1">
    <w:p w:rsidR="001C3413" w:rsidRPr="001A74D9" w:rsidRDefault="001C3413" w:rsidP="00E9295A">
      <w:pPr>
        <w:pStyle w:val="Testonotaapidipagina"/>
        <w:jc w:val="both"/>
        <w:rPr>
          <w:rFonts w:ascii="Verdana" w:hAnsi="Verdana"/>
        </w:rPr>
      </w:pPr>
      <w:r w:rsidRPr="001A74D9">
        <w:rPr>
          <w:rStyle w:val="Rimandonotaapidipagina"/>
          <w:rFonts w:ascii="Verdana" w:hAnsi="Verdana"/>
        </w:rPr>
        <w:footnoteRef/>
      </w:r>
      <w:r w:rsidRPr="001A74D9">
        <w:rPr>
          <w:rFonts w:ascii="Verdana" w:hAnsi="Verdana"/>
        </w:rPr>
        <w:t xml:space="preserve"> Proprio il costante confronto tra le parti è stato propedeutico all’adozione del nuovo processo di </w:t>
      </w:r>
      <w:r w:rsidRPr="001A74D9">
        <w:rPr>
          <w:rFonts w:ascii="Verdana" w:hAnsi="Verdana"/>
          <w:i/>
        </w:rPr>
        <w:t>delivery</w:t>
      </w:r>
      <w:r w:rsidRPr="001A74D9">
        <w:rPr>
          <w:rFonts w:ascii="Verdana" w:hAnsi="Verdana"/>
        </w:rPr>
        <w:t xml:space="preserve"> in cui le interfacce tecniche, messe a disposizione da Telecom, sono state migliorate, e le richieste degli operatori sono state determinanti in tal senso. E’ stata persino individuata una data condivisa di switch off.</w:t>
      </w:r>
    </w:p>
  </w:footnote>
  <w:footnote w:id="2">
    <w:p w:rsidR="001C3413" w:rsidRPr="001A74D9" w:rsidRDefault="001C3413" w:rsidP="00E9295A">
      <w:pPr>
        <w:pStyle w:val="Testonotaapidipagina"/>
        <w:jc w:val="both"/>
        <w:rPr>
          <w:rFonts w:ascii="Verdana" w:hAnsi="Verdana"/>
        </w:rPr>
      </w:pPr>
      <w:r w:rsidRPr="001A74D9">
        <w:rPr>
          <w:rStyle w:val="Rimandonotaapidipagina"/>
          <w:rFonts w:ascii="Verdana" w:hAnsi="Verdana"/>
        </w:rPr>
        <w:footnoteRef/>
      </w:r>
      <w:r w:rsidRPr="001A74D9">
        <w:rPr>
          <w:rFonts w:ascii="Verdana" w:hAnsi="Verdana"/>
        </w:rPr>
        <w:t xml:space="preserve"> E non abbiamo fatto sconti: l’analisi di dettaglio sulle cause di scarto degli ordinativi di lavoro degli OLO (c.d. “KO”), estese, nel 2011, anche al caso di gestione di un ordinativo delle divisioni commerciali di Telecom Italia, proseguono fino al momento in cui il suindicato processo di transizione non sia definitivamente completato.</w:t>
      </w:r>
    </w:p>
  </w:footnote>
  <w:footnote w:id="3">
    <w:p w:rsidR="001C3413" w:rsidRPr="001A74D9" w:rsidRDefault="001C3413" w:rsidP="00E9295A">
      <w:pPr>
        <w:pStyle w:val="Testonotaapidipagina"/>
        <w:jc w:val="both"/>
        <w:rPr>
          <w:rFonts w:ascii="Verdana" w:hAnsi="Verdana"/>
        </w:rPr>
      </w:pPr>
      <w:r w:rsidRPr="001A74D9">
        <w:rPr>
          <w:rStyle w:val="Rimandonotaapidipagina"/>
          <w:rFonts w:ascii="Verdana" w:hAnsi="Verdana"/>
        </w:rPr>
        <w:footnoteRef/>
      </w:r>
      <w:r w:rsidRPr="001A74D9">
        <w:rPr>
          <w:rFonts w:ascii="Verdana" w:hAnsi="Verdana"/>
        </w:rPr>
        <w:t xml:space="preserve"> Con indicazioni periodiche sui livelli qualitativi dei servizi - tramite il confronto tra indicatori di prestazione –KPI- e obiettivi –KPO - e sul confronto tra i KPI per i servizi destinati agli Operatori e quelli relativi alle medesime attività destinate alle divisioni commerciali di Telecom.</w:t>
      </w:r>
    </w:p>
  </w:footnote>
  <w:footnote w:id="4">
    <w:p w:rsidR="001C3413" w:rsidRPr="001A74D9" w:rsidRDefault="001C3413" w:rsidP="00E9295A">
      <w:pPr>
        <w:pStyle w:val="Testonotaapidipagina"/>
        <w:jc w:val="both"/>
        <w:rPr>
          <w:rFonts w:ascii="Verdana" w:hAnsi="Verdana"/>
        </w:rPr>
      </w:pPr>
      <w:r w:rsidRPr="001A74D9">
        <w:rPr>
          <w:rStyle w:val="Rimandonotaapidipagina"/>
          <w:rFonts w:ascii="Verdana" w:hAnsi="Verdana"/>
        </w:rPr>
        <w:footnoteRef/>
      </w:r>
      <w:r w:rsidRPr="001A74D9">
        <w:rPr>
          <w:rFonts w:ascii="Verdana" w:hAnsi="Verdana"/>
        </w:rPr>
        <w:t xml:space="preserve"> Delibera n. 600/11/CONS.</w:t>
      </w:r>
    </w:p>
  </w:footnote>
  <w:footnote w:id="5">
    <w:p w:rsidR="001C3413" w:rsidRPr="001A74D9" w:rsidRDefault="001C3413" w:rsidP="00E9295A">
      <w:pPr>
        <w:pStyle w:val="Testonotaapidipagina"/>
        <w:jc w:val="both"/>
        <w:rPr>
          <w:rFonts w:ascii="Verdana" w:hAnsi="Verdana"/>
        </w:rPr>
      </w:pPr>
      <w:r w:rsidRPr="001A74D9">
        <w:rPr>
          <w:rStyle w:val="Rimandonotaapidipagina"/>
          <w:rFonts w:ascii="Verdana" w:hAnsi="Verdana"/>
        </w:rPr>
        <w:footnoteRef/>
      </w:r>
      <w:r w:rsidRPr="001A74D9">
        <w:rPr>
          <w:rFonts w:ascii="Verdana" w:hAnsi="Verdana"/>
        </w:rPr>
        <w:t xml:space="preserve"> Che da un punto di vista strettamente regolamentare rappresenta il genus in cui si iscrive il provvedimento di separazione.</w:t>
      </w:r>
    </w:p>
  </w:footnote>
  <w:footnote w:id="6">
    <w:p w:rsidR="001C3413" w:rsidRPr="001A74D9" w:rsidRDefault="001C3413" w:rsidP="00E9295A">
      <w:pPr>
        <w:pStyle w:val="Testonotaapidipagina"/>
        <w:jc w:val="both"/>
        <w:rPr>
          <w:rFonts w:ascii="Verdana" w:hAnsi="Verdana"/>
        </w:rPr>
      </w:pPr>
      <w:r w:rsidRPr="001A74D9">
        <w:rPr>
          <w:rStyle w:val="Rimandonotaapidipagina"/>
          <w:rFonts w:ascii="Verdana" w:hAnsi="Verdana"/>
        </w:rPr>
        <w:footnoteRef/>
      </w:r>
      <w:r w:rsidRPr="001A74D9">
        <w:rPr>
          <w:rFonts w:ascii="Verdana" w:hAnsi="Verdana"/>
        </w:rPr>
        <w:t xml:space="preserve"> Con la comunicazione all’Autorità, all’Organo di Vigilanza ed agli Operatori dei “Piani Tecnici per la Qualità e per lo Sviluppo della Rete”, e dei loro avanzamenti.</w:t>
      </w:r>
    </w:p>
  </w:footnote>
  <w:footnote w:id="7">
    <w:p w:rsidR="001C3413" w:rsidRPr="001A74D9" w:rsidRDefault="001C3413" w:rsidP="00E9295A">
      <w:pPr>
        <w:pStyle w:val="Testonotaapidipagina"/>
        <w:jc w:val="both"/>
        <w:rPr>
          <w:rFonts w:ascii="Verdana" w:hAnsi="Verdana"/>
        </w:rPr>
      </w:pPr>
      <w:r w:rsidRPr="001A74D9">
        <w:rPr>
          <w:rStyle w:val="Rimandonotaapidipagina"/>
          <w:rFonts w:ascii="Verdana" w:hAnsi="Verdana"/>
        </w:rPr>
        <w:footnoteRef/>
      </w:r>
      <w:r w:rsidRPr="001A74D9">
        <w:rPr>
          <w:rFonts w:ascii="Verdana" w:hAnsi="Verdana"/>
        </w:rPr>
        <w:t xml:space="preserve"> Gli obblighi di fornitura a condizioni non discriminatorie sono poi stati estesi anche ai servizi intermedi di accesso forniti mediante reti di nuova generazione.</w:t>
      </w:r>
    </w:p>
  </w:footnote>
  <w:footnote w:id="8">
    <w:p w:rsidR="001C3413" w:rsidRPr="001A74D9" w:rsidRDefault="001C3413" w:rsidP="00E9295A">
      <w:pPr>
        <w:pStyle w:val="Testonotaapidipagina"/>
        <w:jc w:val="both"/>
        <w:rPr>
          <w:rFonts w:ascii="Verdana" w:hAnsi="Verdana"/>
        </w:rPr>
      </w:pPr>
      <w:r w:rsidRPr="001A74D9">
        <w:rPr>
          <w:rStyle w:val="Rimandonotaapidipagina"/>
          <w:rFonts w:ascii="Verdana" w:hAnsi="Verdana"/>
        </w:rPr>
        <w:footnoteRef/>
      </w:r>
      <w:r w:rsidRPr="001A74D9">
        <w:rPr>
          <w:rFonts w:ascii="Verdana" w:hAnsi="Verdana"/>
        </w:rPr>
        <w:t xml:space="preserve"> Delibera n.1/12/CONS</w:t>
      </w:r>
    </w:p>
  </w:footnote>
  <w:footnote w:id="9">
    <w:p w:rsidR="001C3413" w:rsidRPr="001A74D9" w:rsidRDefault="001C3413" w:rsidP="00E9295A">
      <w:pPr>
        <w:pStyle w:val="Testonotaapidipagina"/>
        <w:jc w:val="both"/>
        <w:rPr>
          <w:rFonts w:ascii="Verdana" w:hAnsi="Verdana"/>
        </w:rPr>
      </w:pPr>
      <w:r w:rsidRPr="001A74D9">
        <w:rPr>
          <w:rStyle w:val="Rimandonotaapidipagina"/>
          <w:rFonts w:ascii="Verdana" w:hAnsi="Verdana"/>
        </w:rPr>
        <w:footnoteRef/>
      </w:r>
      <w:r w:rsidRPr="001A74D9">
        <w:rPr>
          <w:rFonts w:ascii="Verdana" w:hAnsi="Verdana"/>
        </w:rPr>
        <w:t xml:space="preserve"> Siano minuti di conversazione o byte trasportati.</w:t>
      </w:r>
    </w:p>
  </w:footnote>
  <w:footnote w:id="10">
    <w:p w:rsidR="001C3413" w:rsidRPr="001A74D9" w:rsidRDefault="001C3413" w:rsidP="00E9295A">
      <w:pPr>
        <w:pStyle w:val="Testonotaapidipagina"/>
        <w:jc w:val="both"/>
        <w:rPr>
          <w:rFonts w:ascii="Verdana" w:hAnsi="Verdana"/>
        </w:rPr>
      </w:pPr>
      <w:r w:rsidRPr="001A74D9">
        <w:rPr>
          <w:rStyle w:val="Rimandonotaapidipagina"/>
          <w:rFonts w:ascii="Verdana" w:hAnsi="Verdana"/>
        </w:rPr>
        <w:footnoteRef/>
      </w:r>
      <w:r w:rsidRPr="001A74D9">
        <w:rPr>
          <w:rFonts w:ascii="Verdana" w:hAnsi="Verdana"/>
        </w:rPr>
        <w:t xml:space="preserve"> Dopo anni in cui i molteplici obiettivi del regolatore hanno ceduto di fatto il passo alla priorità di dover creare lo spazio per il dispiegarsi della concorrenza, anche attraverso l’asimmetria delle regole se questo era necessario.</w:t>
      </w:r>
    </w:p>
  </w:footnote>
  <w:footnote w:id="11">
    <w:p w:rsidR="001C3413" w:rsidRPr="001A74D9" w:rsidRDefault="001C3413" w:rsidP="00E9295A">
      <w:pPr>
        <w:pStyle w:val="Testonotaapidipagina"/>
        <w:jc w:val="both"/>
        <w:rPr>
          <w:rFonts w:ascii="Verdana" w:hAnsi="Verdana"/>
        </w:rPr>
      </w:pPr>
      <w:r w:rsidRPr="001A74D9">
        <w:rPr>
          <w:rStyle w:val="Rimandonotaapidipagina"/>
          <w:rFonts w:ascii="Verdana" w:hAnsi="Verdana"/>
        </w:rPr>
        <w:footnoteRef/>
      </w:r>
      <w:r w:rsidRPr="001A74D9">
        <w:rPr>
          <w:rFonts w:ascii="Verdana" w:hAnsi="Verdana"/>
        </w:rPr>
        <w:t xml:space="preserve"> Tecnologia quest’ultima che pure continua ad allungare il suo ciclo di vita rivitalizzandosi grazie all’incessante innovazione, ma che non potrà sostenere da sola il traffico delle autostrade digitali di domani.  </w:t>
      </w:r>
    </w:p>
  </w:footnote>
  <w:footnote w:id="12">
    <w:p w:rsidR="001C3413" w:rsidRPr="001A74D9" w:rsidRDefault="001C3413" w:rsidP="00E9295A">
      <w:pPr>
        <w:pStyle w:val="Testonotaapidipagina"/>
        <w:jc w:val="both"/>
        <w:rPr>
          <w:rFonts w:ascii="Verdana" w:hAnsi="Verdana"/>
        </w:rPr>
      </w:pPr>
      <w:r w:rsidRPr="001A74D9">
        <w:rPr>
          <w:rStyle w:val="Rimandonotaapidipagina"/>
          <w:rFonts w:ascii="Verdana" w:hAnsi="Verdana"/>
        </w:rPr>
        <w:footnoteRef/>
      </w:r>
      <w:r w:rsidRPr="001A74D9">
        <w:rPr>
          <w:rFonts w:ascii="Verdana" w:hAnsi="Verdana"/>
        </w:rPr>
        <w:t xml:space="preserve"> Il quadro regolamentare consente infatti di: </w:t>
      </w:r>
    </w:p>
    <w:p w:rsidR="001C3413" w:rsidRPr="001A74D9" w:rsidRDefault="001C3413" w:rsidP="00E9295A">
      <w:pPr>
        <w:pStyle w:val="Testonotaapidipagina"/>
        <w:jc w:val="both"/>
        <w:rPr>
          <w:rFonts w:ascii="Verdana" w:hAnsi="Verdana"/>
        </w:rPr>
      </w:pPr>
      <w:r w:rsidRPr="001A74D9">
        <w:rPr>
          <w:rFonts w:ascii="Verdana" w:hAnsi="Verdana"/>
        </w:rPr>
        <w:t>i)</w:t>
      </w:r>
      <w:r w:rsidRPr="001A74D9">
        <w:rPr>
          <w:rFonts w:ascii="Verdana" w:hAnsi="Verdana"/>
        </w:rPr>
        <w:tab/>
        <w:t xml:space="preserve">incentivare gli operatori di ogni dimensione ad arricchire progressivamente le proprie dotazioni infrastrutturali ; </w:t>
      </w:r>
    </w:p>
    <w:p w:rsidR="001C3413" w:rsidRPr="001A74D9" w:rsidRDefault="001C3413" w:rsidP="00E9295A">
      <w:pPr>
        <w:pStyle w:val="Testonotaapidipagina"/>
        <w:jc w:val="both"/>
        <w:rPr>
          <w:rFonts w:ascii="Verdana" w:hAnsi="Verdana"/>
        </w:rPr>
      </w:pPr>
      <w:r w:rsidRPr="001A74D9">
        <w:rPr>
          <w:rFonts w:ascii="Verdana" w:hAnsi="Verdana"/>
        </w:rPr>
        <w:t>ii)</w:t>
      </w:r>
      <w:r w:rsidRPr="001A74D9">
        <w:rPr>
          <w:rFonts w:ascii="Verdana" w:hAnsi="Verdana"/>
        </w:rPr>
        <w:tab/>
        <w:t xml:space="preserve">riconoscere le differenze nelle condizioni concorrenziali esistenti tra le differenti aree geografiche del nostro Paese; </w:t>
      </w:r>
    </w:p>
    <w:p w:rsidR="001C3413" w:rsidRPr="001A74D9" w:rsidRDefault="001C3413" w:rsidP="00E9295A">
      <w:pPr>
        <w:pStyle w:val="Testonotaapidipagina"/>
        <w:jc w:val="both"/>
        <w:rPr>
          <w:rFonts w:ascii="Verdana" w:hAnsi="Verdana"/>
        </w:rPr>
      </w:pPr>
      <w:r w:rsidRPr="001A74D9">
        <w:rPr>
          <w:rFonts w:ascii="Verdana" w:hAnsi="Verdana"/>
        </w:rPr>
        <w:t>iii)</w:t>
      </w:r>
      <w:r w:rsidRPr="001A74D9">
        <w:rPr>
          <w:rFonts w:ascii="Verdana" w:hAnsi="Verdana"/>
        </w:rPr>
        <w:tab/>
        <w:t xml:space="preserve">remunerare il rischio di investimento; </w:t>
      </w:r>
    </w:p>
    <w:p w:rsidR="001C3413" w:rsidRPr="001A74D9" w:rsidRDefault="001C3413" w:rsidP="00E9295A">
      <w:pPr>
        <w:pStyle w:val="Testonotaapidipagina"/>
        <w:jc w:val="both"/>
        <w:rPr>
          <w:rFonts w:ascii="Verdana" w:hAnsi="Verdana"/>
        </w:rPr>
      </w:pPr>
      <w:r w:rsidRPr="001A74D9">
        <w:rPr>
          <w:rFonts w:ascii="Verdana" w:hAnsi="Verdana"/>
        </w:rPr>
        <w:t>iv)</w:t>
      </w:r>
      <w:r w:rsidRPr="001A74D9">
        <w:rPr>
          <w:rFonts w:ascii="Verdana" w:hAnsi="Verdana"/>
        </w:rPr>
        <w:tab/>
        <w:t xml:space="preserve">promuovere le iniziative di coinvestimento e di ripartizione del rischio imprenditoriale;  </w:t>
      </w:r>
    </w:p>
    <w:p w:rsidR="001C3413" w:rsidRPr="001A74D9" w:rsidRDefault="001C3413" w:rsidP="00E9295A">
      <w:pPr>
        <w:pStyle w:val="Testonotaapidipagina"/>
        <w:jc w:val="both"/>
        <w:rPr>
          <w:rFonts w:ascii="Verdana" w:hAnsi="Verdana"/>
        </w:rPr>
      </w:pPr>
      <w:r w:rsidRPr="001A74D9">
        <w:rPr>
          <w:rFonts w:ascii="Verdana" w:hAnsi="Verdana"/>
        </w:rPr>
        <w:t>v)</w:t>
      </w:r>
      <w:r w:rsidRPr="001A74D9">
        <w:rPr>
          <w:rFonts w:ascii="Verdana" w:hAnsi="Verdana"/>
        </w:rPr>
        <w:tab/>
        <w:t>valutare la possibilità di imporre obblighi di accesso simmetrici, cui eventualmente assoggettare tutti gli operatori che detengono il controllo di infrastrutture che possano costituire strozzature.</w:t>
      </w:r>
    </w:p>
  </w:footnote>
  <w:footnote w:id="13">
    <w:p w:rsidR="001C3413" w:rsidRPr="001A74D9" w:rsidRDefault="001C3413" w:rsidP="00E9295A">
      <w:pPr>
        <w:pStyle w:val="Testonotaapidipagina"/>
        <w:jc w:val="both"/>
        <w:rPr>
          <w:rFonts w:ascii="Verdana" w:hAnsi="Verdana"/>
        </w:rPr>
      </w:pPr>
      <w:r w:rsidRPr="001A74D9">
        <w:rPr>
          <w:rStyle w:val="Rimandonotaapidipagina"/>
          <w:rFonts w:ascii="Verdana" w:hAnsi="Verdana"/>
        </w:rPr>
        <w:footnoteRef/>
      </w:r>
      <w:r w:rsidRPr="001A74D9">
        <w:rPr>
          <w:rFonts w:ascii="Verdana" w:hAnsi="Verdana"/>
        </w:rPr>
        <w:t xml:space="preserve"> Basti pensare al servizio </w:t>
      </w:r>
      <w:r w:rsidRPr="001A74D9">
        <w:rPr>
          <w:rFonts w:ascii="Verdana" w:hAnsi="Verdana"/>
          <w:i/>
        </w:rPr>
        <w:t>end to end</w:t>
      </w:r>
      <w:r w:rsidRPr="001A74D9">
        <w:rPr>
          <w:rFonts w:ascii="Verdana" w:hAnsi="Verdana"/>
        </w:rPr>
        <w:t>.</w:t>
      </w:r>
    </w:p>
  </w:footnote>
  <w:footnote w:id="14">
    <w:p w:rsidR="001C3413" w:rsidRPr="001A74D9" w:rsidRDefault="001C3413" w:rsidP="00E9295A">
      <w:pPr>
        <w:pStyle w:val="Testonotaapidipagina"/>
        <w:jc w:val="both"/>
        <w:rPr>
          <w:rFonts w:ascii="Verdana" w:hAnsi="Verdana"/>
        </w:rPr>
      </w:pPr>
      <w:r w:rsidRPr="001A74D9">
        <w:rPr>
          <w:rStyle w:val="Rimandonotaapidipagina"/>
          <w:rFonts w:ascii="Verdana" w:hAnsi="Verdana"/>
        </w:rPr>
        <w:footnoteRef/>
      </w:r>
      <w:r w:rsidRPr="001A74D9">
        <w:rPr>
          <w:rFonts w:ascii="Verdana" w:hAnsi="Verdana"/>
        </w:rPr>
        <w:t xml:space="preserve"> Siano queste soluzioni punto-punto, punto-multipunto o miste.</w:t>
      </w:r>
    </w:p>
  </w:footnote>
  <w:footnote w:id="15">
    <w:p w:rsidR="001C3413" w:rsidRPr="001A74D9" w:rsidRDefault="001C3413" w:rsidP="00E9295A">
      <w:pPr>
        <w:pStyle w:val="Testonotaapidipagina"/>
        <w:jc w:val="both"/>
        <w:rPr>
          <w:rFonts w:ascii="Verdana" w:hAnsi="Verdana"/>
          <w:i/>
          <w:lang w:val="en-US"/>
        </w:rPr>
      </w:pPr>
      <w:r w:rsidRPr="001A74D9">
        <w:rPr>
          <w:rStyle w:val="Rimandonotaapidipagina"/>
          <w:rFonts w:ascii="Verdana" w:hAnsi="Verdana"/>
        </w:rPr>
        <w:footnoteRef/>
      </w:r>
      <w:r w:rsidRPr="001A74D9">
        <w:rPr>
          <w:rFonts w:ascii="Verdana" w:hAnsi="Verdana"/>
          <w:lang w:val="en-US"/>
        </w:rPr>
        <w:t xml:space="preserve"> Dal discorso del Commissario Neelie Kroes, 2012 Mobile World Congress, Barcelona, 27 Febbraio 2012: “</w:t>
      </w:r>
      <w:r w:rsidRPr="001A74D9">
        <w:rPr>
          <w:rFonts w:ascii="Verdana" w:hAnsi="Verdana"/>
          <w:i/>
          <w:lang w:val="en-US"/>
        </w:rPr>
        <w:t xml:space="preserve">But I also want at least half of Europeans to have ultra-fast access at over 100 Megabits by 2020: again, it is clear that </w:t>
      </w:r>
      <w:r w:rsidRPr="001A74D9">
        <w:rPr>
          <w:rFonts w:ascii="Verdana" w:hAnsi="Verdana"/>
          <w:i/>
          <w:u w:val="single"/>
          <w:lang w:val="en-US"/>
        </w:rPr>
        <w:t>no single technology will deliver this</w:t>
      </w:r>
      <w:r w:rsidRPr="001A74D9">
        <w:rPr>
          <w:rFonts w:ascii="Verdana" w:hAnsi="Verdana"/>
          <w:i/>
          <w:lang w:val="en-US"/>
        </w:rPr>
        <w:t xml:space="preserve">, no single magic potion will get us there overnight. </w:t>
      </w:r>
      <w:r w:rsidRPr="001A74D9">
        <w:rPr>
          <w:rFonts w:ascii="Verdana" w:hAnsi="Verdana"/>
          <w:i/>
          <w:u w:val="single"/>
          <w:lang w:val="en-US"/>
        </w:rPr>
        <w:t>We rather need an intelligent mix of complementary technologies, deployed incrementally, and according to local circumstances</w:t>
      </w:r>
      <w:r w:rsidRPr="001A74D9">
        <w:rPr>
          <w:rFonts w:ascii="Verdana" w:hAnsi="Verdana"/>
          <w:i/>
          <w:lang w:val="en-US"/>
        </w:rPr>
        <w:t xml:space="preserve">. </w:t>
      </w:r>
    </w:p>
    <w:p w:rsidR="001C3413" w:rsidRPr="001A74D9" w:rsidRDefault="001C3413" w:rsidP="00E9295A">
      <w:pPr>
        <w:pStyle w:val="Testonotaapidipagina"/>
        <w:jc w:val="both"/>
        <w:rPr>
          <w:rFonts w:ascii="Verdana" w:hAnsi="Verdana"/>
          <w:lang w:val="en-US"/>
        </w:rPr>
      </w:pPr>
      <w:r w:rsidRPr="001A74D9">
        <w:rPr>
          <w:rFonts w:ascii="Verdana" w:hAnsi="Verdana"/>
          <w:i/>
          <w:u w:val="single"/>
          <w:lang w:val="en-US"/>
        </w:rPr>
        <w:t>Such technologies include in particular Fibre-to-the-Home, upgraded Cable, Fibre-to-the-Cabinet and LTE. Even technologies which cannot normally deliver 100 Megabits themselves, or cannot do so now in 2012 at any rate: they will still help create a virtuous circle of supply and demand</w:t>
      </w:r>
      <w:r w:rsidRPr="001A74D9">
        <w:rPr>
          <w:rFonts w:ascii="Verdana" w:hAnsi="Verdana"/>
          <w:i/>
          <w:lang w:val="en-US"/>
        </w:rPr>
        <w:t>. European consumers will get used to obtaining better services and higher speeds, which will trigger new bandwidth-hungry applications and services, creating in turn the conditions for financing the competitive networks, wired and wireless, fixed and mobile, of 2020</w:t>
      </w:r>
      <w:r w:rsidRPr="001A74D9">
        <w:rPr>
          <w:rFonts w:ascii="Verdana" w:hAnsi="Verdana"/>
          <w:lang w:val="en-US"/>
        </w:rPr>
        <w:t>”.</w:t>
      </w:r>
    </w:p>
  </w:footnote>
  <w:footnote w:id="16">
    <w:p w:rsidR="001C3413" w:rsidRPr="001A74D9" w:rsidRDefault="001C3413" w:rsidP="00E9295A">
      <w:pPr>
        <w:pStyle w:val="Testonotaapidipagina"/>
        <w:jc w:val="both"/>
        <w:rPr>
          <w:rFonts w:ascii="Verdana" w:hAnsi="Verdana"/>
        </w:rPr>
      </w:pPr>
      <w:r w:rsidRPr="001A74D9">
        <w:rPr>
          <w:rStyle w:val="Rimandonotaapidipagina"/>
          <w:rFonts w:ascii="Verdana" w:hAnsi="Verdana"/>
        </w:rPr>
        <w:footnoteRef/>
      </w:r>
      <w:r w:rsidRPr="001A74D9">
        <w:rPr>
          <w:rFonts w:ascii="Verdana" w:hAnsi="Verdana"/>
        </w:rPr>
        <w:t xml:space="preserve"> Ciò in coerenza con il nuovo approccio comunitario e anche al fine di riesaminare gli obblighi di fornitura del servizio di </w:t>
      </w:r>
      <w:r w:rsidRPr="001A74D9">
        <w:rPr>
          <w:rFonts w:ascii="Verdana" w:hAnsi="Verdana"/>
          <w:i/>
        </w:rPr>
        <w:t>sub-loop unbundling</w:t>
      </w:r>
      <w:r w:rsidRPr="001A74D9">
        <w:rPr>
          <w:rFonts w:ascii="Verdana" w:hAnsi="Verdana"/>
        </w:rPr>
        <w:t>.</w:t>
      </w:r>
    </w:p>
  </w:footnote>
  <w:footnote w:id="17">
    <w:p w:rsidR="001C3413" w:rsidRPr="001A74D9" w:rsidRDefault="001C3413" w:rsidP="00E9295A">
      <w:pPr>
        <w:pStyle w:val="Testonotaapidipagina"/>
        <w:jc w:val="both"/>
        <w:rPr>
          <w:rFonts w:ascii="Verdana" w:hAnsi="Verdana"/>
        </w:rPr>
      </w:pPr>
      <w:r w:rsidRPr="001A74D9">
        <w:rPr>
          <w:rStyle w:val="Rimandonotaapidipagina"/>
          <w:rFonts w:ascii="Verdana" w:hAnsi="Verdana"/>
        </w:rPr>
        <w:footnoteRef/>
      </w:r>
      <w:r w:rsidRPr="001A74D9">
        <w:rPr>
          <w:rFonts w:ascii="Verdana" w:hAnsi="Verdana"/>
        </w:rPr>
        <w:t xml:space="preserve"> Ad esempio in senso più favorevole al partenariato pubblico-privato.</w:t>
      </w:r>
    </w:p>
  </w:footnote>
  <w:footnote w:id="18">
    <w:p w:rsidR="001C3413" w:rsidRPr="001A74D9" w:rsidRDefault="001C3413" w:rsidP="00E9295A">
      <w:pPr>
        <w:pStyle w:val="Testonotaapidipagina"/>
        <w:jc w:val="both"/>
        <w:rPr>
          <w:rFonts w:ascii="Verdana" w:hAnsi="Verdana"/>
        </w:rPr>
      </w:pPr>
      <w:r w:rsidRPr="001A74D9">
        <w:rPr>
          <w:rStyle w:val="Rimandonotaapidipagina"/>
          <w:rFonts w:ascii="Verdana" w:hAnsi="Verdana"/>
        </w:rPr>
        <w:footnoteRef/>
      </w:r>
      <w:r w:rsidRPr="001A74D9">
        <w:rPr>
          <w:rFonts w:ascii="Verdana" w:hAnsi="Verdana"/>
        </w:rPr>
        <w:t xml:space="preserve"> Si impone una riflessione a livello comunitario se, e come, eventualmente, prevedere una disciplina che investa di responsabilità anche questi soggetti che sfuggono alle categorie classiche.</w:t>
      </w:r>
    </w:p>
  </w:footnote>
  <w:footnote w:id="19">
    <w:p w:rsidR="001C3413" w:rsidRPr="001A74D9" w:rsidRDefault="001C3413" w:rsidP="00E9295A">
      <w:pPr>
        <w:pStyle w:val="Testonotaapidipagina"/>
        <w:jc w:val="both"/>
        <w:rPr>
          <w:rFonts w:ascii="Verdana" w:hAnsi="Verdana"/>
        </w:rPr>
      </w:pPr>
      <w:r w:rsidRPr="001A74D9">
        <w:rPr>
          <w:rStyle w:val="Rimandonotaapidipagina"/>
          <w:rFonts w:ascii="Verdana" w:hAnsi="Verdana"/>
        </w:rPr>
        <w:footnoteRef/>
      </w:r>
      <w:r w:rsidRPr="001A74D9">
        <w:rPr>
          <w:rFonts w:ascii="Verdana" w:hAnsi="Verdana"/>
        </w:rPr>
        <w:t xml:space="preserve"> Così come andrebbe fatta una riflessione trasparente sugli effetti dei sistemi tariffari - flat e basati sul traffico – sull’ecosistema e su un nuovo sistema di tariffe di terminazione tra fornitori di contenuti e fornitori di connettività.</w:t>
      </w:r>
    </w:p>
  </w:footnote>
  <w:footnote w:id="20">
    <w:p w:rsidR="001C3413" w:rsidRPr="001A74D9" w:rsidRDefault="001C3413" w:rsidP="00E9295A">
      <w:pPr>
        <w:pStyle w:val="Testonotaapidipagina"/>
        <w:jc w:val="both"/>
        <w:rPr>
          <w:rFonts w:ascii="Verdana" w:hAnsi="Verdana"/>
        </w:rPr>
      </w:pPr>
      <w:r w:rsidRPr="001A74D9">
        <w:rPr>
          <w:rStyle w:val="Rimandonotaapidipagina"/>
          <w:rFonts w:ascii="Verdana" w:hAnsi="Verdana"/>
        </w:rPr>
        <w:footnoteRef/>
      </w:r>
      <w:r w:rsidRPr="001A74D9">
        <w:rPr>
          <w:rFonts w:ascii="Verdana" w:hAnsi="Verdana"/>
        </w:rPr>
        <w:t xml:space="preserve"> Venendo così a rappresentare concretamente quello “</w:t>
      </w:r>
      <w:r w:rsidRPr="001A74D9">
        <w:rPr>
          <w:rFonts w:ascii="Verdana" w:hAnsi="Verdana"/>
          <w:i/>
        </w:rPr>
        <w:t>strumento organizzativo e funzionale della democrazia economica</w:t>
      </w:r>
      <w:r w:rsidRPr="001A74D9">
        <w:rPr>
          <w:rFonts w:ascii="Verdana" w:hAnsi="Verdana"/>
        </w:rPr>
        <w:t>” che è alla base della loro funzione sociale. Così Merusi in “Democrazia e Autorità indipendenti”, 2000.</w:t>
      </w:r>
    </w:p>
  </w:footnote>
  <w:footnote w:id="21">
    <w:p w:rsidR="00D91F01" w:rsidRPr="001A74D9" w:rsidRDefault="00D91F01" w:rsidP="00D91F01">
      <w:pPr>
        <w:pStyle w:val="Testonotaapidipagina"/>
        <w:jc w:val="both"/>
        <w:rPr>
          <w:rFonts w:ascii="Verdana" w:hAnsi="Verdana"/>
        </w:rPr>
      </w:pPr>
      <w:r w:rsidRPr="001A74D9">
        <w:rPr>
          <w:rStyle w:val="Rimandonotaapidipagina"/>
          <w:rFonts w:ascii="Verdana" w:hAnsi="Verdana"/>
        </w:rPr>
        <w:footnoteRef/>
      </w:r>
      <w:r w:rsidRPr="001A74D9">
        <w:rPr>
          <w:rFonts w:ascii="Verdana" w:hAnsi="Verdana"/>
        </w:rPr>
        <w:t xml:space="preserve"> Obblighi di accesso sono tipizzati nelle direttive e possono essere stabiliti esclusivamente dalle Autorità di regolazione a seguito di analisi di mercato e dopo notifica alle altre Autorità nazionali, al BEREC ed alla Commissione Europea. Questo, a maggior ragione, vale per un rimedio atipico, eccezionale, quale quello prospettato dell’esternalizzazione "coatta" delle attività accessorie come la manutenzione della rete.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413" w:rsidRPr="004714EE" w:rsidRDefault="001C3413">
    <w:pPr>
      <w:pStyle w:val="Intestazione"/>
      <w:rPr>
        <w:color w:val="FF0000"/>
      </w:rP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3110CA"/>
    <w:multiLevelType w:val="hybridMultilevel"/>
    <w:tmpl w:val="2CE825E8"/>
    <w:lvl w:ilvl="0" w:tplc="29BEC6DA">
      <w:numFmt w:val="bullet"/>
      <w:lvlText w:val="-"/>
      <w:lvlJc w:val="left"/>
      <w:pPr>
        <w:ind w:left="720" w:hanging="360"/>
      </w:pPr>
      <w:rPr>
        <w:rFonts w:ascii="Verdana" w:eastAsia="Calibri"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rsids>
    <w:rsidRoot w:val="00456ED8"/>
    <w:rsid w:val="00000EBF"/>
    <w:rsid w:val="00001C7F"/>
    <w:rsid w:val="0000320D"/>
    <w:rsid w:val="000045FC"/>
    <w:rsid w:val="00006404"/>
    <w:rsid w:val="00006DD7"/>
    <w:rsid w:val="000071E9"/>
    <w:rsid w:val="0000763E"/>
    <w:rsid w:val="000101A4"/>
    <w:rsid w:val="0001047C"/>
    <w:rsid w:val="00010A34"/>
    <w:rsid w:val="0001117B"/>
    <w:rsid w:val="00012B07"/>
    <w:rsid w:val="00013F6F"/>
    <w:rsid w:val="0001464F"/>
    <w:rsid w:val="00014A25"/>
    <w:rsid w:val="000167C2"/>
    <w:rsid w:val="0001682E"/>
    <w:rsid w:val="0001706D"/>
    <w:rsid w:val="00017073"/>
    <w:rsid w:val="000174E2"/>
    <w:rsid w:val="0002014D"/>
    <w:rsid w:val="000213CF"/>
    <w:rsid w:val="00021E52"/>
    <w:rsid w:val="00023DB2"/>
    <w:rsid w:val="0002401E"/>
    <w:rsid w:val="00025A3D"/>
    <w:rsid w:val="00025D3E"/>
    <w:rsid w:val="000262D8"/>
    <w:rsid w:val="0002689C"/>
    <w:rsid w:val="00030438"/>
    <w:rsid w:val="00030CC2"/>
    <w:rsid w:val="0003179C"/>
    <w:rsid w:val="00031EFF"/>
    <w:rsid w:val="0003224E"/>
    <w:rsid w:val="00032D3A"/>
    <w:rsid w:val="000336AC"/>
    <w:rsid w:val="000336C5"/>
    <w:rsid w:val="0003436C"/>
    <w:rsid w:val="00034C02"/>
    <w:rsid w:val="00035615"/>
    <w:rsid w:val="0003565D"/>
    <w:rsid w:val="0003650A"/>
    <w:rsid w:val="000367E4"/>
    <w:rsid w:val="0003693C"/>
    <w:rsid w:val="00036C28"/>
    <w:rsid w:val="000370BC"/>
    <w:rsid w:val="00037A51"/>
    <w:rsid w:val="00040BF1"/>
    <w:rsid w:val="00041D50"/>
    <w:rsid w:val="0004299D"/>
    <w:rsid w:val="00043B59"/>
    <w:rsid w:val="00043E4B"/>
    <w:rsid w:val="00044846"/>
    <w:rsid w:val="00046BD2"/>
    <w:rsid w:val="000470BA"/>
    <w:rsid w:val="00047D5E"/>
    <w:rsid w:val="00050A46"/>
    <w:rsid w:val="00050E26"/>
    <w:rsid w:val="00050FF2"/>
    <w:rsid w:val="00052097"/>
    <w:rsid w:val="00052616"/>
    <w:rsid w:val="000545B8"/>
    <w:rsid w:val="00054B45"/>
    <w:rsid w:val="0005618D"/>
    <w:rsid w:val="0005692A"/>
    <w:rsid w:val="000571B7"/>
    <w:rsid w:val="0005721B"/>
    <w:rsid w:val="00057774"/>
    <w:rsid w:val="00057E3D"/>
    <w:rsid w:val="00060446"/>
    <w:rsid w:val="00060FA2"/>
    <w:rsid w:val="000611E7"/>
    <w:rsid w:val="00061997"/>
    <w:rsid w:val="00061AF5"/>
    <w:rsid w:val="00062165"/>
    <w:rsid w:val="00062D84"/>
    <w:rsid w:val="00063A99"/>
    <w:rsid w:val="00063FF1"/>
    <w:rsid w:val="000644CE"/>
    <w:rsid w:val="00064B53"/>
    <w:rsid w:val="00066D30"/>
    <w:rsid w:val="00066E8B"/>
    <w:rsid w:val="00067D9F"/>
    <w:rsid w:val="0007002D"/>
    <w:rsid w:val="00071C02"/>
    <w:rsid w:val="000727FE"/>
    <w:rsid w:val="0007281C"/>
    <w:rsid w:val="00072A4A"/>
    <w:rsid w:val="00073FB4"/>
    <w:rsid w:val="00074209"/>
    <w:rsid w:val="00076305"/>
    <w:rsid w:val="00076699"/>
    <w:rsid w:val="000775EA"/>
    <w:rsid w:val="00077D16"/>
    <w:rsid w:val="0008012C"/>
    <w:rsid w:val="000816DE"/>
    <w:rsid w:val="0008372F"/>
    <w:rsid w:val="00085656"/>
    <w:rsid w:val="00085C39"/>
    <w:rsid w:val="000864B9"/>
    <w:rsid w:val="000909A3"/>
    <w:rsid w:val="00092A3F"/>
    <w:rsid w:val="00092DC9"/>
    <w:rsid w:val="00092F45"/>
    <w:rsid w:val="00093EC6"/>
    <w:rsid w:val="0009449D"/>
    <w:rsid w:val="00094B4D"/>
    <w:rsid w:val="00094E65"/>
    <w:rsid w:val="00094F49"/>
    <w:rsid w:val="0009522D"/>
    <w:rsid w:val="000954E3"/>
    <w:rsid w:val="00095E28"/>
    <w:rsid w:val="0009631A"/>
    <w:rsid w:val="00096903"/>
    <w:rsid w:val="00096C5A"/>
    <w:rsid w:val="00097575"/>
    <w:rsid w:val="00097F37"/>
    <w:rsid w:val="000A0E2B"/>
    <w:rsid w:val="000A124E"/>
    <w:rsid w:val="000A2A63"/>
    <w:rsid w:val="000A3FBF"/>
    <w:rsid w:val="000A528D"/>
    <w:rsid w:val="000A740F"/>
    <w:rsid w:val="000A7BFD"/>
    <w:rsid w:val="000A7EE9"/>
    <w:rsid w:val="000B0069"/>
    <w:rsid w:val="000B058F"/>
    <w:rsid w:val="000B2765"/>
    <w:rsid w:val="000B3598"/>
    <w:rsid w:val="000B3836"/>
    <w:rsid w:val="000B68DC"/>
    <w:rsid w:val="000B70E2"/>
    <w:rsid w:val="000B7CE2"/>
    <w:rsid w:val="000C0061"/>
    <w:rsid w:val="000C0193"/>
    <w:rsid w:val="000C2B40"/>
    <w:rsid w:val="000C3A45"/>
    <w:rsid w:val="000C4889"/>
    <w:rsid w:val="000C5965"/>
    <w:rsid w:val="000C7EDE"/>
    <w:rsid w:val="000D18DE"/>
    <w:rsid w:val="000D1EF0"/>
    <w:rsid w:val="000D2E38"/>
    <w:rsid w:val="000D32A5"/>
    <w:rsid w:val="000D32FE"/>
    <w:rsid w:val="000D444A"/>
    <w:rsid w:val="000D64D1"/>
    <w:rsid w:val="000D6E65"/>
    <w:rsid w:val="000D71B8"/>
    <w:rsid w:val="000D723E"/>
    <w:rsid w:val="000D7514"/>
    <w:rsid w:val="000D7526"/>
    <w:rsid w:val="000E0C06"/>
    <w:rsid w:val="000E0D0D"/>
    <w:rsid w:val="000E19A9"/>
    <w:rsid w:val="000E258B"/>
    <w:rsid w:val="000E3339"/>
    <w:rsid w:val="000E33DD"/>
    <w:rsid w:val="000E3DE3"/>
    <w:rsid w:val="000E3F15"/>
    <w:rsid w:val="000E416A"/>
    <w:rsid w:val="000E5973"/>
    <w:rsid w:val="000E62FB"/>
    <w:rsid w:val="000E67DE"/>
    <w:rsid w:val="000E78E8"/>
    <w:rsid w:val="000F0759"/>
    <w:rsid w:val="000F31C7"/>
    <w:rsid w:val="000F3304"/>
    <w:rsid w:val="000F4234"/>
    <w:rsid w:val="000F4580"/>
    <w:rsid w:val="000F51D6"/>
    <w:rsid w:val="000F51E5"/>
    <w:rsid w:val="000F5B63"/>
    <w:rsid w:val="000F5CC0"/>
    <w:rsid w:val="000F5E05"/>
    <w:rsid w:val="000F6AEB"/>
    <w:rsid w:val="000F6B0A"/>
    <w:rsid w:val="000F7886"/>
    <w:rsid w:val="000F7D48"/>
    <w:rsid w:val="001007F6"/>
    <w:rsid w:val="00101452"/>
    <w:rsid w:val="00101C42"/>
    <w:rsid w:val="001028FE"/>
    <w:rsid w:val="001038F6"/>
    <w:rsid w:val="00103AE2"/>
    <w:rsid w:val="00103FB1"/>
    <w:rsid w:val="001055A6"/>
    <w:rsid w:val="0010669E"/>
    <w:rsid w:val="00106AC0"/>
    <w:rsid w:val="00106B77"/>
    <w:rsid w:val="0011013F"/>
    <w:rsid w:val="00110BE3"/>
    <w:rsid w:val="00110D46"/>
    <w:rsid w:val="001125B7"/>
    <w:rsid w:val="0011274D"/>
    <w:rsid w:val="00112FDF"/>
    <w:rsid w:val="00113DC6"/>
    <w:rsid w:val="00113F73"/>
    <w:rsid w:val="00114B05"/>
    <w:rsid w:val="0011567B"/>
    <w:rsid w:val="001160CE"/>
    <w:rsid w:val="00117582"/>
    <w:rsid w:val="00120406"/>
    <w:rsid w:val="00122219"/>
    <w:rsid w:val="001226F5"/>
    <w:rsid w:val="00122C78"/>
    <w:rsid w:val="00123169"/>
    <w:rsid w:val="0012351E"/>
    <w:rsid w:val="00123BED"/>
    <w:rsid w:val="00123EBA"/>
    <w:rsid w:val="00123ED4"/>
    <w:rsid w:val="001242DB"/>
    <w:rsid w:val="0012572E"/>
    <w:rsid w:val="0012592C"/>
    <w:rsid w:val="001263A3"/>
    <w:rsid w:val="001266CE"/>
    <w:rsid w:val="00130A81"/>
    <w:rsid w:val="001319B2"/>
    <w:rsid w:val="00131A95"/>
    <w:rsid w:val="00131F93"/>
    <w:rsid w:val="0013251B"/>
    <w:rsid w:val="00132953"/>
    <w:rsid w:val="00132F54"/>
    <w:rsid w:val="001339DF"/>
    <w:rsid w:val="001339EC"/>
    <w:rsid w:val="00133ABD"/>
    <w:rsid w:val="00133AC8"/>
    <w:rsid w:val="00134525"/>
    <w:rsid w:val="001346E6"/>
    <w:rsid w:val="0013481E"/>
    <w:rsid w:val="00134A37"/>
    <w:rsid w:val="00134FEB"/>
    <w:rsid w:val="001356BA"/>
    <w:rsid w:val="00135F85"/>
    <w:rsid w:val="001360B1"/>
    <w:rsid w:val="00136192"/>
    <w:rsid w:val="00136922"/>
    <w:rsid w:val="00137324"/>
    <w:rsid w:val="00137AAB"/>
    <w:rsid w:val="00140148"/>
    <w:rsid w:val="00141438"/>
    <w:rsid w:val="001415D5"/>
    <w:rsid w:val="0014261F"/>
    <w:rsid w:val="001428AA"/>
    <w:rsid w:val="00142F63"/>
    <w:rsid w:val="001434CF"/>
    <w:rsid w:val="00143638"/>
    <w:rsid w:val="00143BC3"/>
    <w:rsid w:val="0014473B"/>
    <w:rsid w:val="00144BC1"/>
    <w:rsid w:val="0014696A"/>
    <w:rsid w:val="001469B6"/>
    <w:rsid w:val="00146F12"/>
    <w:rsid w:val="00147884"/>
    <w:rsid w:val="00147F86"/>
    <w:rsid w:val="001501EB"/>
    <w:rsid w:val="0015050A"/>
    <w:rsid w:val="001511A6"/>
    <w:rsid w:val="00151958"/>
    <w:rsid w:val="00151C65"/>
    <w:rsid w:val="001529C2"/>
    <w:rsid w:val="001532CA"/>
    <w:rsid w:val="0015396E"/>
    <w:rsid w:val="00154B58"/>
    <w:rsid w:val="00155F44"/>
    <w:rsid w:val="00157598"/>
    <w:rsid w:val="00157D21"/>
    <w:rsid w:val="00157EA8"/>
    <w:rsid w:val="00160EFF"/>
    <w:rsid w:val="00160F07"/>
    <w:rsid w:val="00161921"/>
    <w:rsid w:val="00161A9D"/>
    <w:rsid w:val="00161C77"/>
    <w:rsid w:val="001637EE"/>
    <w:rsid w:val="0016425E"/>
    <w:rsid w:val="0016457C"/>
    <w:rsid w:val="00164989"/>
    <w:rsid w:val="0016505E"/>
    <w:rsid w:val="0016516D"/>
    <w:rsid w:val="00165D5B"/>
    <w:rsid w:val="00166BC3"/>
    <w:rsid w:val="00167333"/>
    <w:rsid w:val="001673F8"/>
    <w:rsid w:val="001677E3"/>
    <w:rsid w:val="001702AF"/>
    <w:rsid w:val="0017199B"/>
    <w:rsid w:val="0017242C"/>
    <w:rsid w:val="00172A8C"/>
    <w:rsid w:val="00172F29"/>
    <w:rsid w:val="001743C1"/>
    <w:rsid w:val="0017478B"/>
    <w:rsid w:val="0017532E"/>
    <w:rsid w:val="0017555E"/>
    <w:rsid w:val="00177704"/>
    <w:rsid w:val="00177B81"/>
    <w:rsid w:val="00181142"/>
    <w:rsid w:val="00181838"/>
    <w:rsid w:val="001831E2"/>
    <w:rsid w:val="00184CAD"/>
    <w:rsid w:val="0018554C"/>
    <w:rsid w:val="00187612"/>
    <w:rsid w:val="00190501"/>
    <w:rsid w:val="00192621"/>
    <w:rsid w:val="0019289D"/>
    <w:rsid w:val="00193441"/>
    <w:rsid w:val="001934D3"/>
    <w:rsid w:val="0019423B"/>
    <w:rsid w:val="00194529"/>
    <w:rsid w:val="00194D72"/>
    <w:rsid w:val="00194F3B"/>
    <w:rsid w:val="0019534D"/>
    <w:rsid w:val="001953CB"/>
    <w:rsid w:val="00195740"/>
    <w:rsid w:val="00196858"/>
    <w:rsid w:val="001A0209"/>
    <w:rsid w:val="001A0D62"/>
    <w:rsid w:val="001A0E28"/>
    <w:rsid w:val="001A0F85"/>
    <w:rsid w:val="001A15C1"/>
    <w:rsid w:val="001A1C4E"/>
    <w:rsid w:val="001A25EA"/>
    <w:rsid w:val="001A2D3A"/>
    <w:rsid w:val="001A2E44"/>
    <w:rsid w:val="001A4878"/>
    <w:rsid w:val="001A4FDC"/>
    <w:rsid w:val="001A5507"/>
    <w:rsid w:val="001A5F39"/>
    <w:rsid w:val="001A6E27"/>
    <w:rsid w:val="001A74D9"/>
    <w:rsid w:val="001B1027"/>
    <w:rsid w:val="001B279E"/>
    <w:rsid w:val="001B2D30"/>
    <w:rsid w:val="001B3113"/>
    <w:rsid w:val="001B3B57"/>
    <w:rsid w:val="001B3CEE"/>
    <w:rsid w:val="001B3DC6"/>
    <w:rsid w:val="001B4224"/>
    <w:rsid w:val="001B42C6"/>
    <w:rsid w:val="001B4977"/>
    <w:rsid w:val="001B5FA9"/>
    <w:rsid w:val="001B719A"/>
    <w:rsid w:val="001B765D"/>
    <w:rsid w:val="001C0A9B"/>
    <w:rsid w:val="001C0B17"/>
    <w:rsid w:val="001C1234"/>
    <w:rsid w:val="001C15A7"/>
    <w:rsid w:val="001C20E8"/>
    <w:rsid w:val="001C2DCD"/>
    <w:rsid w:val="001C3413"/>
    <w:rsid w:val="001C3510"/>
    <w:rsid w:val="001C3DA3"/>
    <w:rsid w:val="001C578F"/>
    <w:rsid w:val="001C60C4"/>
    <w:rsid w:val="001C6179"/>
    <w:rsid w:val="001C673D"/>
    <w:rsid w:val="001C7AFF"/>
    <w:rsid w:val="001D1006"/>
    <w:rsid w:val="001D33AE"/>
    <w:rsid w:val="001D3737"/>
    <w:rsid w:val="001D3BE8"/>
    <w:rsid w:val="001D3FA6"/>
    <w:rsid w:val="001D4C4B"/>
    <w:rsid w:val="001D4CAC"/>
    <w:rsid w:val="001D5583"/>
    <w:rsid w:val="001D5C9F"/>
    <w:rsid w:val="001D5D5D"/>
    <w:rsid w:val="001D5E86"/>
    <w:rsid w:val="001D6023"/>
    <w:rsid w:val="001D61BD"/>
    <w:rsid w:val="001D705C"/>
    <w:rsid w:val="001E015B"/>
    <w:rsid w:val="001E0762"/>
    <w:rsid w:val="001E0A26"/>
    <w:rsid w:val="001E0F0B"/>
    <w:rsid w:val="001E15DA"/>
    <w:rsid w:val="001E18AB"/>
    <w:rsid w:val="001E1E96"/>
    <w:rsid w:val="001E2394"/>
    <w:rsid w:val="001E5948"/>
    <w:rsid w:val="001E5BFE"/>
    <w:rsid w:val="001E5DF5"/>
    <w:rsid w:val="001E623F"/>
    <w:rsid w:val="001E6301"/>
    <w:rsid w:val="001E7146"/>
    <w:rsid w:val="001E7453"/>
    <w:rsid w:val="001E7809"/>
    <w:rsid w:val="001F0384"/>
    <w:rsid w:val="001F1A67"/>
    <w:rsid w:val="001F4FD4"/>
    <w:rsid w:val="001F535A"/>
    <w:rsid w:val="001F54C3"/>
    <w:rsid w:val="001F61DB"/>
    <w:rsid w:val="001F6BC8"/>
    <w:rsid w:val="001F7599"/>
    <w:rsid w:val="00200C19"/>
    <w:rsid w:val="00202036"/>
    <w:rsid w:val="002034AE"/>
    <w:rsid w:val="00203E10"/>
    <w:rsid w:val="002044C4"/>
    <w:rsid w:val="00204B93"/>
    <w:rsid w:val="00206965"/>
    <w:rsid w:val="00206E7A"/>
    <w:rsid w:val="002072FC"/>
    <w:rsid w:val="00207B50"/>
    <w:rsid w:val="00207F7E"/>
    <w:rsid w:val="00210D50"/>
    <w:rsid w:val="0021123A"/>
    <w:rsid w:val="00212922"/>
    <w:rsid w:val="00213391"/>
    <w:rsid w:val="002135A2"/>
    <w:rsid w:val="0021508A"/>
    <w:rsid w:val="002157CB"/>
    <w:rsid w:val="002167B3"/>
    <w:rsid w:val="002170D2"/>
    <w:rsid w:val="00217FBA"/>
    <w:rsid w:val="00220017"/>
    <w:rsid w:val="00221645"/>
    <w:rsid w:val="002231A8"/>
    <w:rsid w:val="00223C0D"/>
    <w:rsid w:val="0022477C"/>
    <w:rsid w:val="0022490B"/>
    <w:rsid w:val="0022509D"/>
    <w:rsid w:val="002256E3"/>
    <w:rsid w:val="00225B0E"/>
    <w:rsid w:val="00226365"/>
    <w:rsid w:val="00226D38"/>
    <w:rsid w:val="002272D1"/>
    <w:rsid w:val="00230F39"/>
    <w:rsid w:val="002319E1"/>
    <w:rsid w:val="00231B06"/>
    <w:rsid w:val="00231EFA"/>
    <w:rsid w:val="002326D8"/>
    <w:rsid w:val="002347B1"/>
    <w:rsid w:val="00234C80"/>
    <w:rsid w:val="00234EE2"/>
    <w:rsid w:val="0023760B"/>
    <w:rsid w:val="00240232"/>
    <w:rsid w:val="0024029E"/>
    <w:rsid w:val="0024298E"/>
    <w:rsid w:val="00242993"/>
    <w:rsid w:val="00242AFF"/>
    <w:rsid w:val="00243447"/>
    <w:rsid w:val="0024438A"/>
    <w:rsid w:val="00244604"/>
    <w:rsid w:val="00244681"/>
    <w:rsid w:val="00244BCB"/>
    <w:rsid w:val="00245074"/>
    <w:rsid w:val="0024705D"/>
    <w:rsid w:val="00251B3C"/>
    <w:rsid w:val="00253335"/>
    <w:rsid w:val="00253B3A"/>
    <w:rsid w:val="00254583"/>
    <w:rsid w:val="00254A61"/>
    <w:rsid w:val="00255100"/>
    <w:rsid w:val="00255439"/>
    <w:rsid w:val="00261684"/>
    <w:rsid w:val="00261865"/>
    <w:rsid w:val="00261A86"/>
    <w:rsid w:val="00262AA0"/>
    <w:rsid w:val="002632EF"/>
    <w:rsid w:val="00263A17"/>
    <w:rsid w:val="0026429A"/>
    <w:rsid w:val="002642F3"/>
    <w:rsid w:val="00265122"/>
    <w:rsid w:val="00265DAF"/>
    <w:rsid w:val="0027023D"/>
    <w:rsid w:val="00270921"/>
    <w:rsid w:val="00270DBB"/>
    <w:rsid w:val="00270E10"/>
    <w:rsid w:val="00270FE7"/>
    <w:rsid w:val="0027243B"/>
    <w:rsid w:val="00272B99"/>
    <w:rsid w:val="00272DE8"/>
    <w:rsid w:val="00273792"/>
    <w:rsid w:val="00275754"/>
    <w:rsid w:val="00275761"/>
    <w:rsid w:val="00276AF8"/>
    <w:rsid w:val="002776E7"/>
    <w:rsid w:val="00280F93"/>
    <w:rsid w:val="002819C8"/>
    <w:rsid w:val="00281F32"/>
    <w:rsid w:val="0028314B"/>
    <w:rsid w:val="0028355A"/>
    <w:rsid w:val="00286A6B"/>
    <w:rsid w:val="0028738A"/>
    <w:rsid w:val="00287C93"/>
    <w:rsid w:val="002906D4"/>
    <w:rsid w:val="002922CC"/>
    <w:rsid w:val="00293708"/>
    <w:rsid w:val="00293E0E"/>
    <w:rsid w:val="0029427C"/>
    <w:rsid w:val="00295F4B"/>
    <w:rsid w:val="0029655C"/>
    <w:rsid w:val="002968DB"/>
    <w:rsid w:val="002972C1"/>
    <w:rsid w:val="00297C58"/>
    <w:rsid w:val="002A00D0"/>
    <w:rsid w:val="002A02EE"/>
    <w:rsid w:val="002A11AC"/>
    <w:rsid w:val="002A13D4"/>
    <w:rsid w:val="002A2F6E"/>
    <w:rsid w:val="002A34E4"/>
    <w:rsid w:val="002A4027"/>
    <w:rsid w:val="002A58CA"/>
    <w:rsid w:val="002A612D"/>
    <w:rsid w:val="002A659B"/>
    <w:rsid w:val="002A73EA"/>
    <w:rsid w:val="002A75E5"/>
    <w:rsid w:val="002B0122"/>
    <w:rsid w:val="002B0E1B"/>
    <w:rsid w:val="002B0F06"/>
    <w:rsid w:val="002B12DA"/>
    <w:rsid w:val="002B17E2"/>
    <w:rsid w:val="002B1E9E"/>
    <w:rsid w:val="002B2CDA"/>
    <w:rsid w:val="002B32D7"/>
    <w:rsid w:val="002B4338"/>
    <w:rsid w:val="002B49E9"/>
    <w:rsid w:val="002B626A"/>
    <w:rsid w:val="002B6C78"/>
    <w:rsid w:val="002C18B8"/>
    <w:rsid w:val="002C1DF9"/>
    <w:rsid w:val="002C2224"/>
    <w:rsid w:val="002C2BCF"/>
    <w:rsid w:val="002C3445"/>
    <w:rsid w:val="002C3E08"/>
    <w:rsid w:val="002C4D26"/>
    <w:rsid w:val="002C5607"/>
    <w:rsid w:val="002C71DC"/>
    <w:rsid w:val="002C7C2C"/>
    <w:rsid w:val="002C7D39"/>
    <w:rsid w:val="002D0BBF"/>
    <w:rsid w:val="002D15BC"/>
    <w:rsid w:val="002D31D5"/>
    <w:rsid w:val="002D37AF"/>
    <w:rsid w:val="002D3880"/>
    <w:rsid w:val="002D4C24"/>
    <w:rsid w:val="002D52CB"/>
    <w:rsid w:val="002D624E"/>
    <w:rsid w:val="002D7AAF"/>
    <w:rsid w:val="002D7E14"/>
    <w:rsid w:val="002E0139"/>
    <w:rsid w:val="002E019A"/>
    <w:rsid w:val="002E086F"/>
    <w:rsid w:val="002E08A5"/>
    <w:rsid w:val="002E0B14"/>
    <w:rsid w:val="002E0BE6"/>
    <w:rsid w:val="002E0CC1"/>
    <w:rsid w:val="002E2470"/>
    <w:rsid w:val="002E2C35"/>
    <w:rsid w:val="002E483B"/>
    <w:rsid w:val="002E4A91"/>
    <w:rsid w:val="002E534D"/>
    <w:rsid w:val="002E5DF1"/>
    <w:rsid w:val="002E5ED9"/>
    <w:rsid w:val="002E619D"/>
    <w:rsid w:val="002E661A"/>
    <w:rsid w:val="002E69F2"/>
    <w:rsid w:val="002E6A0B"/>
    <w:rsid w:val="002E6E0E"/>
    <w:rsid w:val="002E716B"/>
    <w:rsid w:val="002E74AB"/>
    <w:rsid w:val="002F0649"/>
    <w:rsid w:val="002F220B"/>
    <w:rsid w:val="002F3037"/>
    <w:rsid w:val="002F3E4F"/>
    <w:rsid w:val="002F3E9B"/>
    <w:rsid w:val="002F414B"/>
    <w:rsid w:val="002F42CB"/>
    <w:rsid w:val="002F5864"/>
    <w:rsid w:val="002F5E11"/>
    <w:rsid w:val="002F6BA3"/>
    <w:rsid w:val="002F6EFE"/>
    <w:rsid w:val="002F7BC6"/>
    <w:rsid w:val="0030043C"/>
    <w:rsid w:val="00300476"/>
    <w:rsid w:val="0030060F"/>
    <w:rsid w:val="00300A30"/>
    <w:rsid w:val="00300F66"/>
    <w:rsid w:val="0030172B"/>
    <w:rsid w:val="00301AFC"/>
    <w:rsid w:val="00301C51"/>
    <w:rsid w:val="00302211"/>
    <w:rsid w:val="00302B4F"/>
    <w:rsid w:val="00303AE6"/>
    <w:rsid w:val="003040CB"/>
    <w:rsid w:val="0030513C"/>
    <w:rsid w:val="0030520C"/>
    <w:rsid w:val="00305C29"/>
    <w:rsid w:val="00307385"/>
    <w:rsid w:val="0030772C"/>
    <w:rsid w:val="00310DAB"/>
    <w:rsid w:val="0031110E"/>
    <w:rsid w:val="00311715"/>
    <w:rsid w:val="00311A94"/>
    <w:rsid w:val="00311E48"/>
    <w:rsid w:val="0031245B"/>
    <w:rsid w:val="00313DB7"/>
    <w:rsid w:val="00314091"/>
    <w:rsid w:val="003145C6"/>
    <w:rsid w:val="00314A8E"/>
    <w:rsid w:val="00314E8A"/>
    <w:rsid w:val="0031547F"/>
    <w:rsid w:val="00316C96"/>
    <w:rsid w:val="00317300"/>
    <w:rsid w:val="0032052C"/>
    <w:rsid w:val="00320FAB"/>
    <w:rsid w:val="00322A88"/>
    <w:rsid w:val="00323D95"/>
    <w:rsid w:val="00323D9B"/>
    <w:rsid w:val="00324187"/>
    <w:rsid w:val="00324E51"/>
    <w:rsid w:val="00325014"/>
    <w:rsid w:val="003267F5"/>
    <w:rsid w:val="00326A63"/>
    <w:rsid w:val="00326B53"/>
    <w:rsid w:val="00326E29"/>
    <w:rsid w:val="003271B6"/>
    <w:rsid w:val="003308CE"/>
    <w:rsid w:val="00330A29"/>
    <w:rsid w:val="00331037"/>
    <w:rsid w:val="00332364"/>
    <w:rsid w:val="00332714"/>
    <w:rsid w:val="00333D56"/>
    <w:rsid w:val="0033439A"/>
    <w:rsid w:val="00334983"/>
    <w:rsid w:val="00336B23"/>
    <w:rsid w:val="00337C40"/>
    <w:rsid w:val="00337CA8"/>
    <w:rsid w:val="003417FF"/>
    <w:rsid w:val="00342058"/>
    <w:rsid w:val="00342FCB"/>
    <w:rsid w:val="003441CD"/>
    <w:rsid w:val="00344673"/>
    <w:rsid w:val="00344D9D"/>
    <w:rsid w:val="0034510C"/>
    <w:rsid w:val="003451A4"/>
    <w:rsid w:val="0034596E"/>
    <w:rsid w:val="003507E4"/>
    <w:rsid w:val="003529C1"/>
    <w:rsid w:val="003534EC"/>
    <w:rsid w:val="00354543"/>
    <w:rsid w:val="0035664D"/>
    <w:rsid w:val="00357DF5"/>
    <w:rsid w:val="00360697"/>
    <w:rsid w:val="003625AC"/>
    <w:rsid w:val="00362B20"/>
    <w:rsid w:val="00362CA7"/>
    <w:rsid w:val="00363FE5"/>
    <w:rsid w:val="00364927"/>
    <w:rsid w:val="00364C9D"/>
    <w:rsid w:val="003676B6"/>
    <w:rsid w:val="00370246"/>
    <w:rsid w:val="0037055E"/>
    <w:rsid w:val="003714E0"/>
    <w:rsid w:val="0037364C"/>
    <w:rsid w:val="003743CE"/>
    <w:rsid w:val="0037538E"/>
    <w:rsid w:val="003756BC"/>
    <w:rsid w:val="00375F76"/>
    <w:rsid w:val="0037685B"/>
    <w:rsid w:val="003772CF"/>
    <w:rsid w:val="003806BD"/>
    <w:rsid w:val="00381243"/>
    <w:rsid w:val="00381EFB"/>
    <w:rsid w:val="003820FB"/>
    <w:rsid w:val="00382272"/>
    <w:rsid w:val="0038229F"/>
    <w:rsid w:val="00382E88"/>
    <w:rsid w:val="00382F75"/>
    <w:rsid w:val="00382F8B"/>
    <w:rsid w:val="003842A4"/>
    <w:rsid w:val="00384500"/>
    <w:rsid w:val="003846B1"/>
    <w:rsid w:val="00385F4A"/>
    <w:rsid w:val="00386161"/>
    <w:rsid w:val="00390649"/>
    <w:rsid w:val="00390837"/>
    <w:rsid w:val="00390BE2"/>
    <w:rsid w:val="00392408"/>
    <w:rsid w:val="00392A84"/>
    <w:rsid w:val="00393399"/>
    <w:rsid w:val="00393F32"/>
    <w:rsid w:val="00394354"/>
    <w:rsid w:val="0039499C"/>
    <w:rsid w:val="00394F3C"/>
    <w:rsid w:val="0039540C"/>
    <w:rsid w:val="00395EB0"/>
    <w:rsid w:val="003974CA"/>
    <w:rsid w:val="00397C35"/>
    <w:rsid w:val="003A027E"/>
    <w:rsid w:val="003A0628"/>
    <w:rsid w:val="003A0D1F"/>
    <w:rsid w:val="003A1533"/>
    <w:rsid w:val="003A24A7"/>
    <w:rsid w:val="003A2F5D"/>
    <w:rsid w:val="003A3814"/>
    <w:rsid w:val="003A4229"/>
    <w:rsid w:val="003A471F"/>
    <w:rsid w:val="003A4AF3"/>
    <w:rsid w:val="003A6DC4"/>
    <w:rsid w:val="003A7286"/>
    <w:rsid w:val="003B0FEF"/>
    <w:rsid w:val="003B10C5"/>
    <w:rsid w:val="003B1CDB"/>
    <w:rsid w:val="003B283B"/>
    <w:rsid w:val="003B3BA4"/>
    <w:rsid w:val="003B3C62"/>
    <w:rsid w:val="003B41EF"/>
    <w:rsid w:val="003B4A29"/>
    <w:rsid w:val="003B5271"/>
    <w:rsid w:val="003B536D"/>
    <w:rsid w:val="003B5575"/>
    <w:rsid w:val="003B5F17"/>
    <w:rsid w:val="003B6337"/>
    <w:rsid w:val="003B6490"/>
    <w:rsid w:val="003B6ACA"/>
    <w:rsid w:val="003B6BA1"/>
    <w:rsid w:val="003B70BC"/>
    <w:rsid w:val="003B7A8A"/>
    <w:rsid w:val="003C096D"/>
    <w:rsid w:val="003C0AB7"/>
    <w:rsid w:val="003C27DB"/>
    <w:rsid w:val="003C5D7E"/>
    <w:rsid w:val="003C6A26"/>
    <w:rsid w:val="003D1CA4"/>
    <w:rsid w:val="003D1D89"/>
    <w:rsid w:val="003D1FF8"/>
    <w:rsid w:val="003D2010"/>
    <w:rsid w:val="003D3CE9"/>
    <w:rsid w:val="003D3D58"/>
    <w:rsid w:val="003D53CF"/>
    <w:rsid w:val="003D7472"/>
    <w:rsid w:val="003D7612"/>
    <w:rsid w:val="003E0875"/>
    <w:rsid w:val="003E230E"/>
    <w:rsid w:val="003E28E7"/>
    <w:rsid w:val="003E2C51"/>
    <w:rsid w:val="003E3984"/>
    <w:rsid w:val="003E4912"/>
    <w:rsid w:val="003E5A9F"/>
    <w:rsid w:val="003E6813"/>
    <w:rsid w:val="003F0CB0"/>
    <w:rsid w:val="003F12CF"/>
    <w:rsid w:val="003F15AC"/>
    <w:rsid w:val="003F20D6"/>
    <w:rsid w:val="003F234D"/>
    <w:rsid w:val="003F2CD2"/>
    <w:rsid w:val="003F3C14"/>
    <w:rsid w:val="003F3EF6"/>
    <w:rsid w:val="003F445A"/>
    <w:rsid w:val="003F5208"/>
    <w:rsid w:val="003F5B96"/>
    <w:rsid w:val="003F6B3B"/>
    <w:rsid w:val="003F6E29"/>
    <w:rsid w:val="003F7248"/>
    <w:rsid w:val="00400F82"/>
    <w:rsid w:val="00404564"/>
    <w:rsid w:val="00404B54"/>
    <w:rsid w:val="00404BCD"/>
    <w:rsid w:val="004050CE"/>
    <w:rsid w:val="00405642"/>
    <w:rsid w:val="00405AF7"/>
    <w:rsid w:val="00406030"/>
    <w:rsid w:val="00407200"/>
    <w:rsid w:val="00410157"/>
    <w:rsid w:val="00412148"/>
    <w:rsid w:val="00412A01"/>
    <w:rsid w:val="00414182"/>
    <w:rsid w:val="00414FE1"/>
    <w:rsid w:val="00416400"/>
    <w:rsid w:val="00416583"/>
    <w:rsid w:val="004178A5"/>
    <w:rsid w:val="00417907"/>
    <w:rsid w:val="00417DCD"/>
    <w:rsid w:val="0042005A"/>
    <w:rsid w:val="004200DD"/>
    <w:rsid w:val="00420100"/>
    <w:rsid w:val="004202EC"/>
    <w:rsid w:val="00421BE9"/>
    <w:rsid w:val="00422592"/>
    <w:rsid w:val="004228FC"/>
    <w:rsid w:val="00422A84"/>
    <w:rsid w:val="00423A94"/>
    <w:rsid w:val="00423BC5"/>
    <w:rsid w:val="00423D1F"/>
    <w:rsid w:val="00425B43"/>
    <w:rsid w:val="00426203"/>
    <w:rsid w:val="00426AED"/>
    <w:rsid w:val="0042722B"/>
    <w:rsid w:val="00430157"/>
    <w:rsid w:val="004338E8"/>
    <w:rsid w:val="0043551F"/>
    <w:rsid w:val="004355D7"/>
    <w:rsid w:val="00435DF8"/>
    <w:rsid w:val="0043626C"/>
    <w:rsid w:val="00436B34"/>
    <w:rsid w:val="0043759F"/>
    <w:rsid w:val="00437C2F"/>
    <w:rsid w:val="004418FE"/>
    <w:rsid w:val="00441BD8"/>
    <w:rsid w:val="00441C3E"/>
    <w:rsid w:val="00441F16"/>
    <w:rsid w:val="00441FC6"/>
    <w:rsid w:val="00442D10"/>
    <w:rsid w:val="004433F7"/>
    <w:rsid w:val="00443D68"/>
    <w:rsid w:val="00443EB5"/>
    <w:rsid w:val="00444886"/>
    <w:rsid w:val="00444B03"/>
    <w:rsid w:val="004458F6"/>
    <w:rsid w:val="00446535"/>
    <w:rsid w:val="00447058"/>
    <w:rsid w:val="00447833"/>
    <w:rsid w:val="00447879"/>
    <w:rsid w:val="00447DA7"/>
    <w:rsid w:val="00451255"/>
    <w:rsid w:val="004531E6"/>
    <w:rsid w:val="004550A5"/>
    <w:rsid w:val="00455442"/>
    <w:rsid w:val="00455722"/>
    <w:rsid w:val="004560A8"/>
    <w:rsid w:val="00456ED8"/>
    <w:rsid w:val="00457262"/>
    <w:rsid w:val="0046082F"/>
    <w:rsid w:val="00461F83"/>
    <w:rsid w:val="00462C41"/>
    <w:rsid w:val="004631A5"/>
    <w:rsid w:val="00465775"/>
    <w:rsid w:val="00466655"/>
    <w:rsid w:val="00466B53"/>
    <w:rsid w:val="00466BDA"/>
    <w:rsid w:val="00467A09"/>
    <w:rsid w:val="0047091C"/>
    <w:rsid w:val="00470BFE"/>
    <w:rsid w:val="004714EE"/>
    <w:rsid w:val="004721E6"/>
    <w:rsid w:val="00472D62"/>
    <w:rsid w:val="0047394D"/>
    <w:rsid w:val="0047487A"/>
    <w:rsid w:val="00474CAE"/>
    <w:rsid w:val="00475C16"/>
    <w:rsid w:val="004762F7"/>
    <w:rsid w:val="00476A95"/>
    <w:rsid w:val="0048088D"/>
    <w:rsid w:val="00481760"/>
    <w:rsid w:val="00483B3B"/>
    <w:rsid w:val="00483CD5"/>
    <w:rsid w:val="00485F35"/>
    <w:rsid w:val="00487047"/>
    <w:rsid w:val="00490615"/>
    <w:rsid w:val="00491834"/>
    <w:rsid w:val="00492B9F"/>
    <w:rsid w:val="00492C00"/>
    <w:rsid w:val="00492E8E"/>
    <w:rsid w:val="00493889"/>
    <w:rsid w:val="00493990"/>
    <w:rsid w:val="0049549A"/>
    <w:rsid w:val="004965F9"/>
    <w:rsid w:val="00496C80"/>
    <w:rsid w:val="004971AB"/>
    <w:rsid w:val="00497B9C"/>
    <w:rsid w:val="004A0A1B"/>
    <w:rsid w:val="004A10FC"/>
    <w:rsid w:val="004A136A"/>
    <w:rsid w:val="004A16DD"/>
    <w:rsid w:val="004A186E"/>
    <w:rsid w:val="004A1FE1"/>
    <w:rsid w:val="004A23A7"/>
    <w:rsid w:val="004A2B7D"/>
    <w:rsid w:val="004A2E2D"/>
    <w:rsid w:val="004A3418"/>
    <w:rsid w:val="004A4A1D"/>
    <w:rsid w:val="004A5389"/>
    <w:rsid w:val="004A6AFA"/>
    <w:rsid w:val="004A7B9F"/>
    <w:rsid w:val="004B017D"/>
    <w:rsid w:val="004B06F8"/>
    <w:rsid w:val="004B1023"/>
    <w:rsid w:val="004B1D74"/>
    <w:rsid w:val="004B304D"/>
    <w:rsid w:val="004B373F"/>
    <w:rsid w:val="004B376D"/>
    <w:rsid w:val="004B4AD2"/>
    <w:rsid w:val="004B6464"/>
    <w:rsid w:val="004B6896"/>
    <w:rsid w:val="004B6BE2"/>
    <w:rsid w:val="004B6FF6"/>
    <w:rsid w:val="004B724F"/>
    <w:rsid w:val="004C0232"/>
    <w:rsid w:val="004C091C"/>
    <w:rsid w:val="004C0AAF"/>
    <w:rsid w:val="004C1059"/>
    <w:rsid w:val="004C21DD"/>
    <w:rsid w:val="004C277F"/>
    <w:rsid w:val="004C473E"/>
    <w:rsid w:val="004C58BD"/>
    <w:rsid w:val="004C5B70"/>
    <w:rsid w:val="004C6021"/>
    <w:rsid w:val="004C617F"/>
    <w:rsid w:val="004C6746"/>
    <w:rsid w:val="004C6E0E"/>
    <w:rsid w:val="004C71E4"/>
    <w:rsid w:val="004D04D6"/>
    <w:rsid w:val="004D0969"/>
    <w:rsid w:val="004D0F0A"/>
    <w:rsid w:val="004D11EA"/>
    <w:rsid w:val="004D1387"/>
    <w:rsid w:val="004D1CC9"/>
    <w:rsid w:val="004D2484"/>
    <w:rsid w:val="004D2ADF"/>
    <w:rsid w:val="004D2BAB"/>
    <w:rsid w:val="004D3D72"/>
    <w:rsid w:val="004D4100"/>
    <w:rsid w:val="004D429B"/>
    <w:rsid w:val="004D464B"/>
    <w:rsid w:val="004D4D15"/>
    <w:rsid w:val="004D50C4"/>
    <w:rsid w:val="004D5F01"/>
    <w:rsid w:val="004D5FA9"/>
    <w:rsid w:val="004D6CEB"/>
    <w:rsid w:val="004D7A9E"/>
    <w:rsid w:val="004D7FA6"/>
    <w:rsid w:val="004E1075"/>
    <w:rsid w:val="004E113A"/>
    <w:rsid w:val="004E2142"/>
    <w:rsid w:val="004E22ED"/>
    <w:rsid w:val="004E2343"/>
    <w:rsid w:val="004E3217"/>
    <w:rsid w:val="004E322A"/>
    <w:rsid w:val="004E3B22"/>
    <w:rsid w:val="004E3BFF"/>
    <w:rsid w:val="004E3CC0"/>
    <w:rsid w:val="004E3F60"/>
    <w:rsid w:val="004E49A5"/>
    <w:rsid w:val="004E49E5"/>
    <w:rsid w:val="004E5CF7"/>
    <w:rsid w:val="004E6055"/>
    <w:rsid w:val="004E6576"/>
    <w:rsid w:val="004E6DB9"/>
    <w:rsid w:val="004E7995"/>
    <w:rsid w:val="004F0CB3"/>
    <w:rsid w:val="004F1A45"/>
    <w:rsid w:val="004F2460"/>
    <w:rsid w:val="004F264F"/>
    <w:rsid w:val="004F2D68"/>
    <w:rsid w:val="004F3C23"/>
    <w:rsid w:val="004F4503"/>
    <w:rsid w:val="004F4810"/>
    <w:rsid w:val="004F486E"/>
    <w:rsid w:val="004F4F03"/>
    <w:rsid w:val="004F534B"/>
    <w:rsid w:val="004F6041"/>
    <w:rsid w:val="004F731B"/>
    <w:rsid w:val="004F776E"/>
    <w:rsid w:val="004F7A8B"/>
    <w:rsid w:val="004F7B3C"/>
    <w:rsid w:val="0050023C"/>
    <w:rsid w:val="0050069B"/>
    <w:rsid w:val="005011A8"/>
    <w:rsid w:val="005016F8"/>
    <w:rsid w:val="005020B4"/>
    <w:rsid w:val="00506D98"/>
    <w:rsid w:val="00506DF7"/>
    <w:rsid w:val="00510F14"/>
    <w:rsid w:val="005110EE"/>
    <w:rsid w:val="00511830"/>
    <w:rsid w:val="00511CE5"/>
    <w:rsid w:val="0051297B"/>
    <w:rsid w:val="00512D5C"/>
    <w:rsid w:val="00512E43"/>
    <w:rsid w:val="00513461"/>
    <w:rsid w:val="005144A1"/>
    <w:rsid w:val="005164EE"/>
    <w:rsid w:val="00517208"/>
    <w:rsid w:val="00517E20"/>
    <w:rsid w:val="00521265"/>
    <w:rsid w:val="005212A9"/>
    <w:rsid w:val="005213C8"/>
    <w:rsid w:val="005214F1"/>
    <w:rsid w:val="00521A89"/>
    <w:rsid w:val="005221BF"/>
    <w:rsid w:val="005235D3"/>
    <w:rsid w:val="00525429"/>
    <w:rsid w:val="00525A46"/>
    <w:rsid w:val="00525FDE"/>
    <w:rsid w:val="005260C3"/>
    <w:rsid w:val="0052756D"/>
    <w:rsid w:val="005303FE"/>
    <w:rsid w:val="00530562"/>
    <w:rsid w:val="00531DBC"/>
    <w:rsid w:val="00533BDF"/>
    <w:rsid w:val="00533E6C"/>
    <w:rsid w:val="005351CF"/>
    <w:rsid w:val="005354CC"/>
    <w:rsid w:val="00536EB0"/>
    <w:rsid w:val="00536FD8"/>
    <w:rsid w:val="005374BA"/>
    <w:rsid w:val="00537CD1"/>
    <w:rsid w:val="00540690"/>
    <w:rsid w:val="00540A2D"/>
    <w:rsid w:val="00543C11"/>
    <w:rsid w:val="005441DA"/>
    <w:rsid w:val="005441FB"/>
    <w:rsid w:val="00544FDC"/>
    <w:rsid w:val="00547471"/>
    <w:rsid w:val="005508D3"/>
    <w:rsid w:val="00550D7D"/>
    <w:rsid w:val="005526A2"/>
    <w:rsid w:val="00552E53"/>
    <w:rsid w:val="00552E62"/>
    <w:rsid w:val="00554861"/>
    <w:rsid w:val="00554D47"/>
    <w:rsid w:val="005557D7"/>
    <w:rsid w:val="00555AB8"/>
    <w:rsid w:val="00557217"/>
    <w:rsid w:val="0055771F"/>
    <w:rsid w:val="0056131E"/>
    <w:rsid w:val="00561822"/>
    <w:rsid w:val="00562EE3"/>
    <w:rsid w:val="00562F1A"/>
    <w:rsid w:val="00563587"/>
    <w:rsid w:val="0056475C"/>
    <w:rsid w:val="00564C03"/>
    <w:rsid w:val="00565019"/>
    <w:rsid w:val="005653A8"/>
    <w:rsid w:val="00565ECB"/>
    <w:rsid w:val="00566A51"/>
    <w:rsid w:val="00566E14"/>
    <w:rsid w:val="005672A9"/>
    <w:rsid w:val="005678F6"/>
    <w:rsid w:val="00567989"/>
    <w:rsid w:val="00570515"/>
    <w:rsid w:val="00570CEE"/>
    <w:rsid w:val="005710F1"/>
    <w:rsid w:val="00572B45"/>
    <w:rsid w:val="0057350B"/>
    <w:rsid w:val="00573837"/>
    <w:rsid w:val="005739D4"/>
    <w:rsid w:val="00574154"/>
    <w:rsid w:val="005741EA"/>
    <w:rsid w:val="00574352"/>
    <w:rsid w:val="005763AE"/>
    <w:rsid w:val="00576511"/>
    <w:rsid w:val="0057676D"/>
    <w:rsid w:val="00577365"/>
    <w:rsid w:val="00577454"/>
    <w:rsid w:val="0057760A"/>
    <w:rsid w:val="005779A8"/>
    <w:rsid w:val="00577D66"/>
    <w:rsid w:val="005806BD"/>
    <w:rsid w:val="005810A1"/>
    <w:rsid w:val="00583025"/>
    <w:rsid w:val="00583DA1"/>
    <w:rsid w:val="005859CD"/>
    <w:rsid w:val="005904B0"/>
    <w:rsid w:val="0059055E"/>
    <w:rsid w:val="00590C00"/>
    <w:rsid w:val="005911B6"/>
    <w:rsid w:val="005919AF"/>
    <w:rsid w:val="00592E42"/>
    <w:rsid w:val="00592EBE"/>
    <w:rsid w:val="005952DD"/>
    <w:rsid w:val="005965B9"/>
    <w:rsid w:val="00596C1B"/>
    <w:rsid w:val="00596C6E"/>
    <w:rsid w:val="00596C8B"/>
    <w:rsid w:val="00597642"/>
    <w:rsid w:val="005A0C82"/>
    <w:rsid w:val="005A1DB6"/>
    <w:rsid w:val="005A2115"/>
    <w:rsid w:val="005A24BE"/>
    <w:rsid w:val="005A2C5A"/>
    <w:rsid w:val="005A3BCF"/>
    <w:rsid w:val="005A4CB2"/>
    <w:rsid w:val="005A4D7F"/>
    <w:rsid w:val="005A502B"/>
    <w:rsid w:val="005A634E"/>
    <w:rsid w:val="005A760B"/>
    <w:rsid w:val="005B1A03"/>
    <w:rsid w:val="005B1FF0"/>
    <w:rsid w:val="005B2C6B"/>
    <w:rsid w:val="005B410B"/>
    <w:rsid w:val="005B5CF1"/>
    <w:rsid w:val="005B6EE5"/>
    <w:rsid w:val="005C0B98"/>
    <w:rsid w:val="005C1AC0"/>
    <w:rsid w:val="005C314E"/>
    <w:rsid w:val="005C3963"/>
    <w:rsid w:val="005C4123"/>
    <w:rsid w:val="005C4352"/>
    <w:rsid w:val="005C47BE"/>
    <w:rsid w:val="005C4831"/>
    <w:rsid w:val="005C7A5C"/>
    <w:rsid w:val="005D0E62"/>
    <w:rsid w:val="005D19E1"/>
    <w:rsid w:val="005D1E52"/>
    <w:rsid w:val="005D3CF2"/>
    <w:rsid w:val="005D3D9B"/>
    <w:rsid w:val="005D45E2"/>
    <w:rsid w:val="005D4E0A"/>
    <w:rsid w:val="005D500A"/>
    <w:rsid w:val="005D5B8D"/>
    <w:rsid w:val="005D6175"/>
    <w:rsid w:val="005D67E4"/>
    <w:rsid w:val="005D6BF3"/>
    <w:rsid w:val="005D7047"/>
    <w:rsid w:val="005E1509"/>
    <w:rsid w:val="005E20CB"/>
    <w:rsid w:val="005E25BF"/>
    <w:rsid w:val="005E2771"/>
    <w:rsid w:val="005E298B"/>
    <w:rsid w:val="005E349C"/>
    <w:rsid w:val="005E3926"/>
    <w:rsid w:val="005E44A5"/>
    <w:rsid w:val="005E4817"/>
    <w:rsid w:val="005E5473"/>
    <w:rsid w:val="005E5764"/>
    <w:rsid w:val="005E5F66"/>
    <w:rsid w:val="005E7682"/>
    <w:rsid w:val="005E7B9B"/>
    <w:rsid w:val="005F0024"/>
    <w:rsid w:val="005F29A8"/>
    <w:rsid w:val="005F2E3B"/>
    <w:rsid w:val="005F2FBF"/>
    <w:rsid w:val="005F307E"/>
    <w:rsid w:val="005F31C2"/>
    <w:rsid w:val="005F4242"/>
    <w:rsid w:val="005F58F1"/>
    <w:rsid w:val="005F594C"/>
    <w:rsid w:val="005F61B0"/>
    <w:rsid w:val="005F6856"/>
    <w:rsid w:val="00600652"/>
    <w:rsid w:val="0060155C"/>
    <w:rsid w:val="00602910"/>
    <w:rsid w:val="006030B2"/>
    <w:rsid w:val="0060378B"/>
    <w:rsid w:val="006043DD"/>
    <w:rsid w:val="006050C6"/>
    <w:rsid w:val="00605BBC"/>
    <w:rsid w:val="00606ED1"/>
    <w:rsid w:val="006074EE"/>
    <w:rsid w:val="00610857"/>
    <w:rsid w:val="00610D2B"/>
    <w:rsid w:val="0061103A"/>
    <w:rsid w:val="00611E4C"/>
    <w:rsid w:val="00612CAD"/>
    <w:rsid w:val="00612D94"/>
    <w:rsid w:val="00613774"/>
    <w:rsid w:val="00616797"/>
    <w:rsid w:val="006167D8"/>
    <w:rsid w:val="00616A33"/>
    <w:rsid w:val="00616EA0"/>
    <w:rsid w:val="00617E4D"/>
    <w:rsid w:val="00617E5D"/>
    <w:rsid w:val="00620737"/>
    <w:rsid w:val="00620DC1"/>
    <w:rsid w:val="0062387B"/>
    <w:rsid w:val="00625B77"/>
    <w:rsid w:val="006267BF"/>
    <w:rsid w:val="00626BD5"/>
    <w:rsid w:val="006273E8"/>
    <w:rsid w:val="00627570"/>
    <w:rsid w:val="006275E4"/>
    <w:rsid w:val="006333A6"/>
    <w:rsid w:val="00634021"/>
    <w:rsid w:val="00635E91"/>
    <w:rsid w:val="00636DD8"/>
    <w:rsid w:val="00637199"/>
    <w:rsid w:val="00637AFE"/>
    <w:rsid w:val="00640ACC"/>
    <w:rsid w:val="00641E04"/>
    <w:rsid w:val="0064245E"/>
    <w:rsid w:val="00642714"/>
    <w:rsid w:val="00643038"/>
    <w:rsid w:val="006444DD"/>
    <w:rsid w:val="00644B3C"/>
    <w:rsid w:val="0064598A"/>
    <w:rsid w:val="00645A60"/>
    <w:rsid w:val="00646070"/>
    <w:rsid w:val="00646DA7"/>
    <w:rsid w:val="00646E32"/>
    <w:rsid w:val="00647F44"/>
    <w:rsid w:val="00650F28"/>
    <w:rsid w:val="00652383"/>
    <w:rsid w:val="00652CFA"/>
    <w:rsid w:val="00653AEE"/>
    <w:rsid w:val="0065441A"/>
    <w:rsid w:val="006556C3"/>
    <w:rsid w:val="00655C68"/>
    <w:rsid w:val="00657C33"/>
    <w:rsid w:val="00657DF1"/>
    <w:rsid w:val="00662D87"/>
    <w:rsid w:val="006634A3"/>
    <w:rsid w:val="00665AC5"/>
    <w:rsid w:val="006662EE"/>
    <w:rsid w:val="00666590"/>
    <w:rsid w:val="00666C26"/>
    <w:rsid w:val="00667746"/>
    <w:rsid w:val="006677F5"/>
    <w:rsid w:val="00667C68"/>
    <w:rsid w:val="00671209"/>
    <w:rsid w:val="00672271"/>
    <w:rsid w:val="006725C7"/>
    <w:rsid w:val="00672A73"/>
    <w:rsid w:val="00674062"/>
    <w:rsid w:val="00674C41"/>
    <w:rsid w:val="006763DF"/>
    <w:rsid w:val="00677BC4"/>
    <w:rsid w:val="0068334B"/>
    <w:rsid w:val="00683A37"/>
    <w:rsid w:val="00683DBE"/>
    <w:rsid w:val="0068484C"/>
    <w:rsid w:val="006865E3"/>
    <w:rsid w:val="0068693F"/>
    <w:rsid w:val="00686ACE"/>
    <w:rsid w:val="00686CB0"/>
    <w:rsid w:val="00686CFF"/>
    <w:rsid w:val="006877E2"/>
    <w:rsid w:val="00687E22"/>
    <w:rsid w:val="00690921"/>
    <w:rsid w:val="00690EC1"/>
    <w:rsid w:val="00691DD7"/>
    <w:rsid w:val="0069226C"/>
    <w:rsid w:val="00692E55"/>
    <w:rsid w:val="00694254"/>
    <w:rsid w:val="00694A48"/>
    <w:rsid w:val="0069511D"/>
    <w:rsid w:val="0069541D"/>
    <w:rsid w:val="00695A72"/>
    <w:rsid w:val="006966F5"/>
    <w:rsid w:val="006A018D"/>
    <w:rsid w:val="006A0B4A"/>
    <w:rsid w:val="006A1459"/>
    <w:rsid w:val="006A18FF"/>
    <w:rsid w:val="006A21D2"/>
    <w:rsid w:val="006A408A"/>
    <w:rsid w:val="006A423C"/>
    <w:rsid w:val="006A56CB"/>
    <w:rsid w:val="006A5AA5"/>
    <w:rsid w:val="006A61FA"/>
    <w:rsid w:val="006A6693"/>
    <w:rsid w:val="006A6759"/>
    <w:rsid w:val="006A6DE4"/>
    <w:rsid w:val="006A7ADB"/>
    <w:rsid w:val="006B10F2"/>
    <w:rsid w:val="006B1306"/>
    <w:rsid w:val="006B2208"/>
    <w:rsid w:val="006B3DDF"/>
    <w:rsid w:val="006B3F09"/>
    <w:rsid w:val="006B6A50"/>
    <w:rsid w:val="006B73F8"/>
    <w:rsid w:val="006B7BCE"/>
    <w:rsid w:val="006C0C6D"/>
    <w:rsid w:val="006C0D37"/>
    <w:rsid w:val="006C2159"/>
    <w:rsid w:val="006C22C7"/>
    <w:rsid w:val="006C2774"/>
    <w:rsid w:val="006C36D0"/>
    <w:rsid w:val="006C3987"/>
    <w:rsid w:val="006C42CD"/>
    <w:rsid w:val="006C5722"/>
    <w:rsid w:val="006C5AD3"/>
    <w:rsid w:val="006C632D"/>
    <w:rsid w:val="006C6A97"/>
    <w:rsid w:val="006C6BC5"/>
    <w:rsid w:val="006C6C57"/>
    <w:rsid w:val="006C78CA"/>
    <w:rsid w:val="006D1D09"/>
    <w:rsid w:val="006D32F8"/>
    <w:rsid w:val="006D394F"/>
    <w:rsid w:val="006D4083"/>
    <w:rsid w:val="006D46C7"/>
    <w:rsid w:val="006D7380"/>
    <w:rsid w:val="006D7890"/>
    <w:rsid w:val="006E196E"/>
    <w:rsid w:val="006E2167"/>
    <w:rsid w:val="006E3D11"/>
    <w:rsid w:val="006E4360"/>
    <w:rsid w:val="006E4599"/>
    <w:rsid w:val="006E52A0"/>
    <w:rsid w:val="006E5517"/>
    <w:rsid w:val="006E6C09"/>
    <w:rsid w:val="006E7614"/>
    <w:rsid w:val="006E77A6"/>
    <w:rsid w:val="006E7B4D"/>
    <w:rsid w:val="006E7EB3"/>
    <w:rsid w:val="006F04FE"/>
    <w:rsid w:val="006F3340"/>
    <w:rsid w:val="006F344A"/>
    <w:rsid w:val="006F4679"/>
    <w:rsid w:val="006F4AA8"/>
    <w:rsid w:val="0070054B"/>
    <w:rsid w:val="007005CF"/>
    <w:rsid w:val="00700C4D"/>
    <w:rsid w:val="00701451"/>
    <w:rsid w:val="0070176C"/>
    <w:rsid w:val="00701900"/>
    <w:rsid w:val="00701C0F"/>
    <w:rsid w:val="00701E2E"/>
    <w:rsid w:val="00702141"/>
    <w:rsid w:val="00702452"/>
    <w:rsid w:val="00703F99"/>
    <w:rsid w:val="00704232"/>
    <w:rsid w:val="0070483A"/>
    <w:rsid w:val="00707B87"/>
    <w:rsid w:val="00711090"/>
    <w:rsid w:val="00711197"/>
    <w:rsid w:val="0071148D"/>
    <w:rsid w:val="00711BAC"/>
    <w:rsid w:val="00711D6B"/>
    <w:rsid w:val="0071238E"/>
    <w:rsid w:val="00713851"/>
    <w:rsid w:val="00713EB9"/>
    <w:rsid w:val="007142DC"/>
    <w:rsid w:val="007145CB"/>
    <w:rsid w:val="007159DC"/>
    <w:rsid w:val="00716D27"/>
    <w:rsid w:val="0071707F"/>
    <w:rsid w:val="00717197"/>
    <w:rsid w:val="00722FD6"/>
    <w:rsid w:val="007244D6"/>
    <w:rsid w:val="0072600F"/>
    <w:rsid w:val="007261EF"/>
    <w:rsid w:val="0072635B"/>
    <w:rsid w:val="00726782"/>
    <w:rsid w:val="007277AD"/>
    <w:rsid w:val="00727B7F"/>
    <w:rsid w:val="007300A6"/>
    <w:rsid w:val="00733597"/>
    <w:rsid w:val="00733B01"/>
    <w:rsid w:val="007344CF"/>
    <w:rsid w:val="0073684A"/>
    <w:rsid w:val="00736A07"/>
    <w:rsid w:val="00737C3E"/>
    <w:rsid w:val="00740530"/>
    <w:rsid w:val="007411A5"/>
    <w:rsid w:val="007417E4"/>
    <w:rsid w:val="00742E82"/>
    <w:rsid w:val="00743C2E"/>
    <w:rsid w:val="00744038"/>
    <w:rsid w:val="00744A70"/>
    <w:rsid w:val="00744CF7"/>
    <w:rsid w:val="007451C3"/>
    <w:rsid w:val="00745624"/>
    <w:rsid w:val="007458AB"/>
    <w:rsid w:val="007458E1"/>
    <w:rsid w:val="00745C31"/>
    <w:rsid w:val="00745F5A"/>
    <w:rsid w:val="0074710C"/>
    <w:rsid w:val="00747AFE"/>
    <w:rsid w:val="00747C25"/>
    <w:rsid w:val="00750129"/>
    <w:rsid w:val="007517A7"/>
    <w:rsid w:val="007517A8"/>
    <w:rsid w:val="00751AF5"/>
    <w:rsid w:val="00751B64"/>
    <w:rsid w:val="007525D8"/>
    <w:rsid w:val="0075278B"/>
    <w:rsid w:val="00752966"/>
    <w:rsid w:val="00753C48"/>
    <w:rsid w:val="00754A24"/>
    <w:rsid w:val="007557D2"/>
    <w:rsid w:val="007567DC"/>
    <w:rsid w:val="007572CB"/>
    <w:rsid w:val="0076092B"/>
    <w:rsid w:val="00761053"/>
    <w:rsid w:val="00761592"/>
    <w:rsid w:val="007619AE"/>
    <w:rsid w:val="00761D5A"/>
    <w:rsid w:val="007625A9"/>
    <w:rsid w:val="00762C8E"/>
    <w:rsid w:val="00763441"/>
    <w:rsid w:val="00763D2D"/>
    <w:rsid w:val="007641B1"/>
    <w:rsid w:val="00765132"/>
    <w:rsid w:val="0076585A"/>
    <w:rsid w:val="0076675A"/>
    <w:rsid w:val="0077156A"/>
    <w:rsid w:val="0077207B"/>
    <w:rsid w:val="0077234B"/>
    <w:rsid w:val="00774243"/>
    <w:rsid w:val="007770CF"/>
    <w:rsid w:val="007777B1"/>
    <w:rsid w:val="00780915"/>
    <w:rsid w:val="00780946"/>
    <w:rsid w:val="00781AB9"/>
    <w:rsid w:val="00783190"/>
    <w:rsid w:val="00783EFD"/>
    <w:rsid w:val="00784EC2"/>
    <w:rsid w:val="007856B2"/>
    <w:rsid w:val="0078727B"/>
    <w:rsid w:val="00787BFF"/>
    <w:rsid w:val="00787E94"/>
    <w:rsid w:val="007901B4"/>
    <w:rsid w:val="007906A3"/>
    <w:rsid w:val="00791FE6"/>
    <w:rsid w:val="00795B69"/>
    <w:rsid w:val="00795CAA"/>
    <w:rsid w:val="00796631"/>
    <w:rsid w:val="00796E62"/>
    <w:rsid w:val="007974DF"/>
    <w:rsid w:val="007A0F2C"/>
    <w:rsid w:val="007A1856"/>
    <w:rsid w:val="007A2861"/>
    <w:rsid w:val="007A3420"/>
    <w:rsid w:val="007A3A89"/>
    <w:rsid w:val="007A40AB"/>
    <w:rsid w:val="007A538F"/>
    <w:rsid w:val="007A5415"/>
    <w:rsid w:val="007A583A"/>
    <w:rsid w:val="007B0540"/>
    <w:rsid w:val="007B2373"/>
    <w:rsid w:val="007B2E5B"/>
    <w:rsid w:val="007B35D5"/>
    <w:rsid w:val="007B3CBB"/>
    <w:rsid w:val="007B463F"/>
    <w:rsid w:val="007B5FAA"/>
    <w:rsid w:val="007B6220"/>
    <w:rsid w:val="007B683F"/>
    <w:rsid w:val="007B6B0A"/>
    <w:rsid w:val="007B7BEC"/>
    <w:rsid w:val="007C055B"/>
    <w:rsid w:val="007C1605"/>
    <w:rsid w:val="007C1A07"/>
    <w:rsid w:val="007C3CF6"/>
    <w:rsid w:val="007C6F3F"/>
    <w:rsid w:val="007D023A"/>
    <w:rsid w:val="007D04EA"/>
    <w:rsid w:val="007D0BBC"/>
    <w:rsid w:val="007D13B8"/>
    <w:rsid w:val="007D1441"/>
    <w:rsid w:val="007D2CB7"/>
    <w:rsid w:val="007D57A7"/>
    <w:rsid w:val="007D58D6"/>
    <w:rsid w:val="007D6227"/>
    <w:rsid w:val="007D6FBD"/>
    <w:rsid w:val="007D7E38"/>
    <w:rsid w:val="007D7FD1"/>
    <w:rsid w:val="007E18C5"/>
    <w:rsid w:val="007E2699"/>
    <w:rsid w:val="007E2B72"/>
    <w:rsid w:val="007E39B1"/>
    <w:rsid w:val="007E4ACB"/>
    <w:rsid w:val="007E506B"/>
    <w:rsid w:val="007E5478"/>
    <w:rsid w:val="007E6391"/>
    <w:rsid w:val="007F1032"/>
    <w:rsid w:val="007F1DFE"/>
    <w:rsid w:val="007F2A84"/>
    <w:rsid w:val="007F2D06"/>
    <w:rsid w:val="007F38DA"/>
    <w:rsid w:val="007F3ADD"/>
    <w:rsid w:val="007F59B3"/>
    <w:rsid w:val="007F67C4"/>
    <w:rsid w:val="007F6C86"/>
    <w:rsid w:val="007F6DCA"/>
    <w:rsid w:val="007F718B"/>
    <w:rsid w:val="007F7CEB"/>
    <w:rsid w:val="00800999"/>
    <w:rsid w:val="008009C9"/>
    <w:rsid w:val="008016C5"/>
    <w:rsid w:val="008027CD"/>
    <w:rsid w:val="00803D78"/>
    <w:rsid w:val="008044AD"/>
    <w:rsid w:val="008045C0"/>
    <w:rsid w:val="008049D4"/>
    <w:rsid w:val="008055F8"/>
    <w:rsid w:val="008063FF"/>
    <w:rsid w:val="00806C93"/>
    <w:rsid w:val="008070EC"/>
    <w:rsid w:val="008071E4"/>
    <w:rsid w:val="008072D2"/>
    <w:rsid w:val="00807E03"/>
    <w:rsid w:val="008103B4"/>
    <w:rsid w:val="00810E09"/>
    <w:rsid w:val="00811224"/>
    <w:rsid w:val="00811B5E"/>
    <w:rsid w:val="00811FCF"/>
    <w:rsid w:val="00812326"/>
    <w:rsid w:val="00812935"/>
    <w:rsid w:val="0081498F"/>
    <w:rsid w:val="00815B79"/>
    <w:rsid w:val="00816045"/>
    <w:rsid w:val="008166DF"/>
    <w:rsid w:val="00816ACB"/>
    <w:rsid w:val="00817784"/>
    <w:rsid w:val="00820007"/>
    <w:rsid w:val="00821988"/>
    <w:rsid w:val="00821B9A"/>
    <w:rsid w:val="0082243E"/>
    <w:rsid w:val="0082251E"/>
    <w:rsid w:val="00822677"/>
    <w:rsid w:val="00825DCE"/>
    <w:rsid w:val="00825F74"/>
    <w:rsid w:val="00825FD3"/>
    <w:rsid w:val="008275E0"/>
    <w:rsid w:val="0082794B"/>
    <w:rsid w:val="0083017B"/>
    <w:rsid w:val="008305BD"/>
    <w:rsid w:val="008312AA"/>
    <w:rsid w:val="008316FA"/>
    <w:rsid w:val="00832244"/>
    <w:rsid w:val="00832404"/>
    <w:rsid w:val="0083259F"/>
    <w:rsid w:val="00832BCB"/>
    <w:rsid w:val="00832DE8"/>
    <w:rsid w:val="00833E3E"/>
    <w:rsid w:val="00834BBE"/>
    <w:rsid w:val="00834BCA"/>
    <w:rsid w:val="00835998"/>
    <w:rsid w:val="00835E06"/>
    <w:rsid w:val="00836235"/>
    <w:rsid w:val="0083669F"/>
    <w:rsid w:val="00836E22"/>
    <w:rsid w:val="008401C4"/>
    <w:rsid w:val="00842275"/>
    <w:rsid w:val="00843CC8"/>
    <w:rsid w:val="008440B9"/>
    <w:rsid w:val="008442DD"/>
    <w:rsid w:val="008448CA"/>
    <w:rsid w:val="00844C8F"/>
    <w:rsid w:val="00844CE3"/>
    <w:rsid w:val="00844EBC"/>
    <w:rsid w:val="008458EA"/>
    <w:rsid w:val="00846597"/>
    <w:rsid w:val="008478DA"/>
    <w:rsid w:val="00850DC7"/>
    <w:rsid w:val="00851AD1"/>
    <w:rsid w:val="00852869"/>
    <w:rsid w:val="00853873"/>
    <w:rsid w:val="00853D5E"/>
    <w:rsid w:val="00853FFD"/>
    <w:rsid w:val="008557EA"/>
    <w:rsid w:val="008563FF"/>
    <w:rsid w:val="0085660E"/>
    <w:rsid w:val="0085665F"/>
    <w:rsid w:val="008570D2"/>
    <w:rsid w:val="00857F84"/>
    <w:rsid w:val="008604DE"/>
    <w:rsid w:val="008604F6"/>
    <w:rsid w:val="008614E2"/>
    <w:rsid w:val="00861D58"/>
    <w:rsid w:val="00862222"/>
    <w:rsid w:val="00862FDB"/>
    <w:rsid w:val="008631D8"/>
    <w:rsid w:val="00863357"/>
    <w:rsid w:val="00863B72"/>
    <w:rsid w:val="008652E8"/>
    <w:rsid w:val="00865AF1"/>
    <w:rsid w:val="0086620A"/>
    <w:rsid w:val="00866C66"/>
    <w:rsid w:val="00871C0D"/>
    <w:rsid w:val="008720FC"/>
    <w:rsid w:val="00872B25"/>
    <w:rsid w:val="0087317C"/>
    <w:rsid w:val="00873723"/>
    <w:rsid w:val="00875768"/>
    <w:rsid w:val="00876B1F"/>
    <w:rsid w:val="00876D27"/>
    <w:rsid w:val="00876D3C"/>
    <w:rsid w:val="00877405"/>
    <w:rsid w:val="00880081"/>
    <w:rsid w:val="008804A5"/>
    <w:rsid w:val="0088239C"/>
    <w:rsid w:val="00882B5F"/>
    <w:rsid w:val="008832F0"/>
    <w:rsid w:val="008846E3"/>
    <w:rsid w:val="00884E7D"/>
    <w:rsid w:val="00884E87"/>
    <w:rsid w:val="00885074"/>
    <w:rsid w:val="00885CF8"/>
    <w:rsid w:val="0088613E"/>
    <w:rsid w:val="00886D04"/>
    <w:rsid w:val="008879DA"/>
    <w:rsid w:val="00892F9C"/>
    <w:rsid w:val="00897241"/>
    <w:rsid w:val="008A1646"/>
    <w:rsid w:val="008A2EE3"/>
    <w:rsid w:val="008A3BBF"/>
    <w:rsid w:val="008A3CD9"/>
    <w:rsid w:val="008A4156"/>
    <w:rsid w:val="008A4EBA"/>
    <w:rsid w:val="008A523E"/>
    <w:rsid w:val="008A552F"/>
    <w:rsid w:val="008A5667"/>
    <w:rsid w:val="008A5A5A"/>
    <w:rsid w:val="008A66E0"/>
    <w:rsid w:val="008A691F"/>
    <w:rsid w:val="008A6DB6"/>
    <w:rsid w:val="008A7351"/>
    <w:rsid w:val="008B1B4B"/>
    <w:rsid w:val="008B1BE7"/>
    <w:rsid w:val="008B2CC8"/>
    <w:rsid w:val="008B2EE1"/>
    <w:rsid w:val="008B3472"/>
    <w:rsid w:val="008B3EC0"/>
    <w:rsid w:val="008B4584"/>
    <w:rsid w:val="008B4FA5"/>
    <w:rsid w:val="008B5DE6"/>
    <w:rsid w:val="008B6FFE"/>
    <w:rsid w:val="008B7135"/>
    <w:rsid w:val="008B776D"/>
    <w:rsid w:val="008B7BCD"/>
    <w:rsid w:val="008B7CCB"/>
    <w:rsid w:val="008B7F26"/>
    <w:rsid w:val="008C11C5"/>
    <w:rsid w:val="008C1372"/>
    <w:rsid w:val="008C1A0D"/>
    <w:rsid w:val="008C2FF5"/>
    <w:rsid w:val="008C3DB2"/>
    <w:rsid w:val="008C59A0"/>
    <w:rsid w:val="008C7525"/>
    <w:rsid w:val="008D1958"/>
    <w:rsid w:val="008D1B3F"/>
    <w:rsid w:val="008D2296"/>
    <w:rsid w:val="008D22E2"/>
    <w:rsid w:val="008D2602"/>
    <w:rsid w:val="008D2F16"/>
    <w:rsid w:val="008D2F8F"/>
    <w:rsid w:val="008D3E6E"/>
    <w:rsid w:val="008D477E"/>
    <w:rsid w:val="008D4945"/>
    <w:rsid w:val="008D4C5B"/>
    <w:rsid w:val="008D4D02"/>
    <w:rsid w:val="008D56A3"/>
    <w:rsid w:val="008D598A"/>
    <w:rsid w:val="008D6003"/>
    <w:rsid w:val="008D7E22"/>
    <w:rsid w:val="008E0AF3"/>
    <w:rsid w:val="008E0D74"/>
    <w:rsid w:val="008E1036"/>
    <w:rsid w:val="008E10B1"/>
    <w:rsid w:val="008E122B"/>
    <w:rsid w:val="008E21E0"/>
    <w:rsid w:val="008E2645"/>
    <w:rsid w:val="008E2693"/>
    <w:rsid w:val="008E32B4"/>
    <w:rsid w:val="008E4D92"/>
    <w:rsid w:val="008E5B55"/>
    <w:rsid w:val="008E5BAA"/>
    <w:rsid w:val="008E61DD"/>
    <w:rsid w:val="008E688E"/>
    <w:rsid w:val="008E75EF"/>
    <w:rsid w:val="008E79EE"/>
    <w:rsid w:val="008F041A"/>
    <w:rsid w:val="008F0A7D"/>
    <w:rsid w:val="008F10A7"/>
    <w:rsid w:val="008F1660"/>
    <w:rsid w:val="008F16B4"/>
    <w:rsid w:val="008F1AC4"/>
    <w:rsid w:val="008F347D"/>
    <w:rsid w:val="008F3492"/>
    <w:rsid w:val="008F60E4"/>
    <w:rsid w:val="008F661F"/>
    <w:rsid w:val="008F6B3C"/>
    <w:rsid w:val="008F701F"/>
    <w:rsid w:val="008F715F"/>
    <w:rsid w:val="008F72A4"/>
    <w:rsid w:val="008F746B"/>
    <w:rsid w:val="008F78A9"/>
    <w:rsid w:val="008F7A26"/>
    <w:rsid w:val="008F7A81"/>
    <w:rsid w:val="008F7C6D"/>
    <w:rsid w:val="008F7D44"/>
    <w:rsid w:val="0090005F"/>
    <w:rsid w:val="00900493"/>
    <w:rsid w:val="009004BE"/>
    <w:rsid w:val="00900A7F"/>
    <w:rsid w:val="00900AFD"/>
    <w:rsid w:val="0090212C"/>
    <w:rsid w:val="00902270"/>
    <w:rsid w:val="009022F3"/>
    <w:rsid w:val="0090318C"/>
    <w:rsid w:val="0090325E"/>
    <w:rsid w:val="00903545"/>
    <w:rsid w:val="00906CD9"/>
    <w:rsid w:val="00907F92"/>
    <w:rsid w:val="00910652"/>
    <w:rsid w:val="009111F2"/>
    <w:rsid w:val="00911C34"/>
    <w:rsid w:val="0091249F"/>
    <w:rsid w:val="00915504"/>
    <w:rsid w:val="00915EDE"/>
    <w:rsid w:val="009172CE"/>
    <w:rsid w:val="00920D3D"/>
    <w:rsid w:val="00921947"/>
    <w:rsid w:val="00921FAB"/>
    <w:rsid w:val="00922A8C"/>
    <w:rsid w:val="009234EE"/>
    <w:rsid w:val="00923CF5"/>
    <w:rsid w:val="00925F93"/>
    <w:rsid w:val="00926992"/>
    <w:rsid w:val="00926E0C"/>
    <w:rsid w:val="009274D8"/>
    <w:rsid w:val="009313F4"/>
    <w:rsid w:val="009314C2"/>
    <w:rsid w:val="00931E8C"/>
    <w:rsid w:val="0093273C"/>
    <w:rsid w:val="00932D77"/>
    <w:rsid w:val="009334AE"/>
    <w:rsid w:val="0093524F"/>
    <w:rsid w:val="00935D84"/>
    <w:rsid w:val="009366D1"/>
    <w:rsid w:val="009367BF"/>
    <w:rsid w:val="00936D86"/>
    <w:rsid w:val="00936EF7"/>
    <w:rsid w:val="009371AC"/>
    <w:rsid w:val="00940086"/>
    <w:rsid w:val="00940D0C"/>
    <w:rsid w:val="009424A9"/>
    <w:rsid w:val="0094442A"/>
    <w:rsid w:val="009449A1"/>
    <w:rsid w:val="00945233"/>
    <w:rsid w:val="00945774"/>
    <w:rsid w:val="00945A54"/>
    <w:rsid w:val="0094626B"/>
    <w:rsid w:val="00946625"/>
    <w:rsid w:val="009466CF"/>
    <w:rsid w:val="00946A15"/>
    <w:rsid w:val="00950980"/>
    <w:rsid w:val="009519DE"/>
    <w:rsid w:val="00952719"/>
    <w:rsid w:val="00952E66"/>
    <w:rsid w:val="00954DC2"/>
    <w:rsid w:val="00955015"/>
    <w:rsid w:val="009572F0"/>
    <w:rsid w:val="00957C6E"/>
    <w:rsid w:val="00957FF3"/>
    <w:rsid w:val="009603C5"/>
    <w:rsid w:val="00960CCE"/>
    <w:rsid w:val="00961A5C"/>
    <w:rsid w:val="00961EB1"/>
    <w:rsid w:val="00962F0F"/>
    <w:rsid w:val="00962FAD"/>
    <w:rsid w:val="00963007"/>
    <w:rsid w:val="00963139"/>
    <w:rsid w:val="00964093"/>
    <w:rsid w:val="00965428"/>
    <w:rsid w:val="00965604"/>
    <w:rsid w:val="00965918"/>
    <w:rsid w:val="009661E1"/>
    <w:rsid w:val="009668D3"/>
    <w:rsid w:val="009679B6"/>
    <w:rsid w:val="0097040D"/>
    <w:rsid w:val="00971146"/>
    <w:rsid w:val="009737D5"/>
    <w:rsid w:val="00973E10"/>
    <w:rsid w:val="0097532E"/>
    <w:rsid w:val="00975EE9"/>
    <w:rsid w:val="009770A2"/>
    <w:rsid w:val="0097754B"/>
    <w:rsid w:val="009803FA"/>
    <w:rsid w:val="009805CF"/>
    <w:rsid w:val="00980D50"/>
    <w:rsid w:val="009811CE"/>
    <w:rsid w:val="00981C8A"/>
    <w:rsid w:val="00982837"/>
    <w:rsid w:val="00982ED7"/>
    <w:rsid w:val="0098367D"/>
    <w:rsid w:val="00983900"/>
    <w:rsid w:val="00983B75"/>
    <w:rsid w:val="0098425C"/>
    <w:rsid w:val="009859D0"/>
    <w:rsid w:val="009859ED"/>
    <w:rsid w:val="009868D0"/>
    <w:rsid w:val="009874CF"/>
    <w:rsid w:val="00987988"/>
    <w:rsid w:val="00987BD5"/>
    <w:rsid w:val="00987C39"/>
    <w:rsid w:val="00987C83"/>
    <w:rsid w:val="00991173"/>
    <w:rsid w:val="00991D3A"/>
    <w:rsid w:val="009921ED"/>
    <w:rsid w:val="009928AB"/>
    <w:rsid w:val="0099290C"/>
    <w:rsid w:val="00993A88"/>
    <w:rsid w:val="00993FFD"/>
    <w:rsid w:val="00995302"/>
    <w:rsid w:val="00995468"/>
    <w:rsid w:val="00996638"/>
    <w:rsid w:val="00996FB0"/>
    <w:rsid w:val="009978E9"/>
    <w:rsid w:val="009A085B"/>
    <w:rsid w:val="009A14B2"/>
    <w:rsid w:val="009A1A16"/>
    <w:rsid w:val="009A29CC"/>
    <w:rsid w:val="009A4DFC"/>
    <w:rsid w:val="009A58DB"/>
    <w:rsid w:val="009A5B5E"/>
    <w:rsid w:val="009A673C"/>
    <w:rsid w:val="009A75EF"/>
    <w:rsid w:val="009B0654"/>
    <w:rsid w:val="009B0750"/>
    <w:rsid w:val="009B1E38"/>
    <w:rsid w:val="009B1F9E"/>
    <w:rsid w:val="009B23B0"/>
    <w:rsid w:val="009B258D"/>
    <w:rsid w:val="009B3BEC"/>
    <w:rsid w:val="009B3C85"/>
    <w:rsid w:val="009B43C0"/>
    <w:rsid w:val="009B4E65"/>
    <w:rsid w:val="009B7B0F"/>
    <w:rsid w:val="009C081D"/>
    <w:rsid w:val="009C0C41"/>
    <w:rsid w:val="009C0CC6"/>
    <w:rsid w:val="009C1770"/>
    <w:rsid w:val="009C1BF6"/>
    <w:rsid w:val="009C1DA1"/>
    <w:rsid w:val="009C29F1"/>
    <w:rsid w:val="009C2DB2"/>
    <w:rsid w:val="009C3389"/>
    <w:rsid w:val="009C394F"/>
    <w:rsid w:val="009C45A2"/>
    <w:rsid w:val="009C4E7A"/>
    <w:rsid w:val="009C5BF9"/>
    <w:rsid w:val="009C649A"/>
    <w:rsid w:val="009C6B00"/>
    <w:rsid w:val="009C7E09"/>
    <w:rsid w:val="009D032B"/>
    <w:rsid w:val="009D03E1"/>
    <w:rsid w:val="009D2E15"/>
    <w:rsid w:val="009D3B78"/>
    <w:rsid w:val="009D3DA0"/>
    <w:rsid w:val="009D4D4D"/>
    <w:rsid w:val="009D5302"/>
    <w:rsid w:val="009D55F5"/>
    <w:rsid w:val="009D58A0"/>
    <w:rsid w:val="009D5D25"/>
    <w:rsid w:val="009D6C70"/>
    <w:rsid w:val="009D7DD0"/>
    <w:rsid w:val="009E3220"/>
    <w:rsid w:val="009E44E3"/>
    <w:rsid w:val="009E51BA"/>
    <w:rsid w:val="009E5BD6"/>
    <w:rsid w:val="009E5DDD"/>
    <w:rsid w:val="009E67CD"/>
    <w:rsid w:val="009E7563"/>
    <w:rsid w:val="009E7605"/>
    <w:rsid w:val="009F178A"/>
    <w:rsid w:val="009F1898"/>
    <w:rsid w:val="009F1AA6"/>
    <w:rsid w:val="009F3903"/>
    <w:rsid w:val="009F3A63"/>
    <w:rsid w:val="009F40DA"/>
    <w:rsid w:val="009F46F5"/>
    <w:rsid w:val="009F4D9B"/>
    <w:rsid w:val="009F4F6C"/>
    <w:rsid w:val="009F525C"/>
    <w:rsid w:val="009F61FD"/>
    <w:rsid w:val="009F7C59"/>
    <w:rsid w:val="00A00D1B"/>
    <w:rsid w:val="00A01AA5"/>
    <w:rsid w:val="00A02747"/>
    <w:rsid w:val="00A033B6"/>
    <w:rsid w:val="00A04C72"/>
    <w:rsid w:val="00A0581C"/>
    <w:rsid w:val="00A06BA3"/>
    <w:rsid w:val="00A06D83"/>
    <w:rsid w:val="00A07C25"/>
    <w:rsid w:val="00A11085"/>
    <w:rsid w:val="00A11336"/>
    <w:rsid w:val="00A12201"/>
    <w:rsid w:val="00A12D54"/>
    <w:rsid w:val="00A13347"/>
    <w:rsid w:val="00A15917"/>
    <w:rsid w:val="00A15984"/>
    <w:rsid w:val="00A15D3D"/>
    <w:rsid w:val="00A1666C"/>
    <w:rsid w:val="00A17B56"/>
    <w:rsid w:val="00A17D0B"/>
    <w:rsid w:val="00A2066A"/>
    <w:rsid w:val="00A2098C"/>
    <w:rsid w:val="00A20A67"/>
    <w:rsid w:val="00A20E4E"/>
    <w:rsid w:val="00A22CF7"/>
    <w:rsid w:val="00A238D3"/>
    <w:rsid w:val="00A23DF5"/>
    <w:rsid w:val="00A23FA5"/>
    <w:rsid w:val="00A24EAF"/>
    <w:rsid w:val="00A25544"/>
    <w:rsid w:val="00A25E6C"/>
    <w:rsid w:val="00A2694A"/>
    <w:rsid w:val="00A269A0"/>
    <w:rsid w:val="00A269E7"/>
    <w:rsid w:val="00A27A76"/>
    <w:rsid w:val="00A30FF0"/>
    <w:rsid w:val="00A315FE"/>
    <w:rsid w:val="00A317D9"/>
    <w:rsid w:val="00A31F13"/>
    <w:rsid w:val="00A3355C"/>
    <w:rsid w:val="00A33BA6"/>
    <w:rsid w:val="00A36514"/>
    <w:rsid w:val="00A371B4"/>
    <w:rsid w:val="00A374EB"/>
    <w:rsid w:val="00A37947"/>
    <w:rsid w:val="00A37FD0"/>
    <w:rsid w:val="00A40415"/>
    <w:rsid w:val="00A404E6"/>
    <w:rsid w:val="00A4207B"/>
    <w:rsid w:val="00A43211"/>
    <w:rsid w:val="00A4327F"/>
    <w:rsid w:val="00A43808"/>
    <w:rsid w:val="00A44A15"/>
    <w:rsid w:val="00A4563D"/>
    <w:rsid w:val="00A45E30"/>
    <w:rsid w:val="00A467E8"/>
    <w:rsid w:val="00A46B17"/>
    <w:rsid w:val="00A475E0"/>
    <w:rsid w:val="00A47863"/>
    <w:rsid w:val="00A47C0C"/>
    <w:rsid w:val="00A501C0"/>
    <w:rsid w:val="00A51201"/>
    <w:rsid w:val="00A51B9E"/>
    <w:rsid w:val="00A52346"/>
    <w:rsid w:val="00A5278A"/>
    <w:rsid w:val="00A53254"/>
    <w:rsid w:val="00A5383B"/>
    <w:rsid w:val="00A54EA9"/>
    <w:rsid w:val="00A555B5"/>
    <w:rsid w:val="00A56797"/>
    <w:rsid w:val="00A6004F"/>
    <w:rsid w:val="00A60777"/>
    <w:rsid w:val="00A607CC"/>
    <w:rsid w:val="00A61D01"/>
    <w:rsid w:val="00A642A6"/>
    <w:rsid w:val="00A64A3E"/>
    <w:rsid w:val="00A64D78"/>
    <w:rsid w:val="00A64F2C"/>
    <w:rsid w:val="00A650A7"/>
    <w:rsid w:val="00A65BCF"/>
    <w:rsid w:val="00A66A8A"/>
    <w:rsid w:val="00A67430"/>
    <w:rsid w:val="00A71F26"/>
    <w:rsid w:val="00A739E8"/>
    <w:rsid w:val="00A74158"/>
    <w:rsid w:val="00A757DD"/>
    <w:rsid w:val="00A75DB9"/>
    <w:rsid w:val="00A7642E"/>
    <w:rsid w:val="00A76DE0"/>
    <w:rsid w:val="00A77297"/>
    <w:rsid w:val="00A77C40"/>
    <w:rsid w:val="00A77FF4"/>
    <w:rsid w:val="00A804A3"/>
    <w:rsid w:val="00A81518"/>
    <w:rsid w:val="00A8165A"/>
    <w:rsid w:val="00A82072"/>
    <w:rsid w:val="00A83E10"/>
    <w:rsid w:val="00A83ECC"/>
    <w:rsid w:val="00A84869"/>
    <w:rsid w:val="00A8551E"/>
    <w:rsid w:val="00A85690"/>
    <w:rsid w:val="00A85D19"/>
    <w:rsid w:val="00A8618C"/>
    <w:rsid w:val="00A87E0A"/>
    <w:rsid w:val="00A9027A"/>
    <w:rsid w:val="00A90C3F"/>
    <w:rsid w:val="00A9171B"/>
    <w:rsid w:val="00A92A42"/>
    <w:rsid w:val="00A9312A"/>
    <w:rsid w:val="00A93724"/>
    <w:rsid w:val="00A94685"/>
    <w:rsid w:val="00A94886"/>
    <w:rsid w:val="00A96A23"/>
    <w:rsid w:val="00A976EF"/>
    <w:rsid w:val="00A978F5"/>
    <w:rsid w:val="00A97B4E"/>
    <w:rsid w:val="00AA134E"/>
    <w:rsid w:val="00AA1DDC"/>
    <w:rsid w:val="00AA2826"/>
    <w:rsid w:val="00AA2C4A"/>
    <w:rsid w:val="00AA2EA9"/>
    <w:rsid w:val="00AA32DC"/>
    <w:rsid w:val="00AA5202"/>
    <w:rsid w:val="00AA5578"/>
    <w:rsid w:val="00AA6312"/>
    <w:rsid w:val="00AA6332"/>
    <w:rsid w:val="00AA7746"/>
    <w:rsid w:val="00AA7FA7"/>
    <w:rsid w:val="00AB0796"/>
    <w:rsid w:val="00AB083A"/>
    <w:rsid w:val="00AB18DB"/>
    <w:rsid w:val="00AB273B"/>
    <w:rsid w:val="00AB2A5E"/>
    <w:rsid w:val="00AB4136"/>
    <w:rsid w:val="00AB43A2"/>
    <w:rsid w:val="00AB6AFF"/>
    <w:rsid w:val="00AC03D3"/>
    <w:rsid w:val="00AC0835"/>
    <w:rsid w:val="00AC0F31"/>
    <w:rsid w:val="00AC178B"/>
    <w:rsid w:val="00AC2C11"/>
    <w:rsid w:val="00AC39CE"/>
    <w:rsid w:val="00AC3B3B"/>
    <w:rsid w:val="00AC3F12"/>
    <w:rsid w:val="00AC4211"/>
    <w:rsid w:val="00AC4D97"/>
    <w:rsid w:val="00AC4E8B"/>
    <w:rsid w:val="00AC5347"/>
    <w:rsid w:val="00AC5495"/>
    <w:rsid w:val="00AC5502"/>
    <w:rsid w:val="00AC5AEB"/>
    <w:rsid w:val="00AC66DE"/>
    <w:rsid w:val="00AC7E9E"/>
    <w:rsid w:val="00AD0623"/>
    <w:rsid w:val="00AD0CD4"/>
    <w:rsid w:val="00AD1941"/>
    <w:rsid w:val="00AD1E54"/>
    <w:rsid w:val="00AD3887"/>
    <w:rsid w:val="00AD38F0"/>
    <w:rsid w:val="00AD3EF1"/>
    <w:rsid w:val="00AD5DDD"/>
    <w:rsid w:val="00AD6A2A"/>
    <w:rsid w:val="00AD7A28"/>
    <w:rsid w:val="00AD7BB1"/>
    <w:rsid w:val="00AE090E"/>
    <w:rsid w:val="00AE0CF7"/>
    <w:rsid w:val="00AE144A"/>
    <w:rsid w:val="00AE174C"/>
    <w:rsid w:val="00AE17AC"/>
    <w:rsid w:val="00AE2198"/>
    <w:rsid w:val="00AE4269"/>
    <w:rsid w:val="00AE4704"/>
    <w:rsid w:val="00AE5643"/>
    <w:rsid w:val="00AE56E1"/>
    <w:rsid w:val="00AE5707"/>
    <w:rsid w:val="00AE595C"/>
    <w:rsid w:val="00AF0806"/>
    <w:rsid w:val="00AF0AEC"/>
    <w:rsid w:val="00AF1104"/>
    <w:rsid w:val="00AF24A5"/>
    <w:rsid w:val="00AF357B"/>
    <w:rsid w:val="00AF3651"/>
    <w:rsid w:val="00AF3FBF"/>
    <w:rsid w:val="00AF40B2"/>
    <w:rsid w:val="00AF510E"/>
    <w:rsid w:val="00AF6133"/>
    <w:rsid w:val="00AF622C"/>
    <w:rsid w:val="00AF6ADF"/>
    <w:rsid w:val="00AF73E8"/>
    <w:rsid w:val="00AF7650"/>
    <w:rsid w:val="00B0055E"/>
    <w:rsid w:val="00B00C6C"/>
    <w:rsid w:val="00B01531"/>
    <w:rsid w:val="00B032AC"/>
    <w:rsid w:val="00B06011"/>
    <w:rsid w:val="00B062F2"/>
    <w:rsid w:val="00B108F0"/>
    <w:rsid w:val="00B11622"/>
    <w:rsid w:val="00B118AB"/>
    <w:rsid w:val="00B11F64"/>
    <w:rsid w:val="00B130D5"/>
    <w:rsid w:val="00B145CC"/>
    <w:rsid w:val="00B146C6"/>
    <w:rsid w:val="00B14A0B"/>
    <w:rsid w:val="00B15509"/>
    <w:rsid w:val="00B156CD"/>
    <w:rsid w:val="00B16F26"/>
    <w:rsid w:val="00B17F50"/>
    <w:rsid w:val="00B21562"/>
    <w:rsid w:val="00B21B28"/>
    <w:rsid w:val="00B226F7"/>
    <w:rsid w:val="00B23434"/>
    <w:rsid w:val="00B23CA8"/>
    <w:rsid w:val="00B24A22"/>
    <w:rsid w:val="00B254AE"/>
    <w:rsid w:val="00B26160"/>
    <w:rsid w:val="00B3047D"/>
    <w:rsid w:val="00B30896"/>
    <w:rsid w:val="00B31C2C"/>
    <w:rsid w:val="00B31F0C"/>
    <w:rsid w:val="00B33934"/>
    <w:rsid w:val="00B33F9D"/>
    <w:rsid w:val="00B34013"/>
    <w:rsid w:val="00B34181"/>
    <w:rsid w:val="00B34BCF"/>
    <w:rsid w:val="00B358AF"/>
    <w:rsid w:val="00B36FFB"/>
    <w:rsid w:val="00B373A8"/>
    <w:rsid w:val="00B40A38"/>
    <w:rsid w:val="00B40DE9"/>
    <w:rsid w:val="00B41180"/>
    <w:rsid w:val="00B419D8"/>
    <w:rsid w:val="00B41A7D"/>
    <w:rsid w:val="00B41B66"/>
    <w:rsid w:val="00B42E73"/>
    <w:rsid w:val="00B4303E"/>
    <w:rsid w:val="00B43268"/>
    <w:rsid w:val="00B439D9"/>
    <w:rsid w:val="00B442BA"/>
    <w:rsid w:val="00B446E7"/>
    <w:rsid w:val="00B44F80"/>
    <w:rsid w:val="00B452AD"/>
    <w:rsid w:val="00B46BA8"/>
    <w:rsid w:val="00B479F3"/>
    <w:rsid w:val="00B47C95"/>
    <w:rsid w:val="00B47FB9"/>
    <w:rsid w:val="00B51776"/>
    <w:rsid w:val="00B51C29"/>
    <w:rsid w:val="00B51FBB"/>
    <w:rsid w:val="00B52336"/>
    <w:rsid w:val="00B53996"/>
    <w:rsid w:val="00B53AE2"/>
    <w:rsid w:val="00B57543"/>
    <w:rsid w:val="00B60A25"/>
    <w:rsid w:val="00B613EC"/>
    <w:rsid w:val="00B61638"/>
    <w:rsid w:val="00B61E68"/>
    <w:rsid w:val="00B6315D"/>
    <w:rsid w:val="00B64CA3"/>
    <w:rsid w:val="00B6528B"/>
    <w:rsid w:val="00B709EC"/>
    <w:rsid w:val="00B73850"/>
    <w:rsid w:val="00B74521"/>
    <w:rsid w:val="00B7479D"/>
    <w:rsid w:val="00B75F80"/>
    <w:rsid w:val="00B7640B"/>
    <w:rsid w:val="00B767BD"/>
    <w:rsid w:val="00B76D49"/>
    <w:rsid w:val="00B776FA"/>
    <w:rsid w:val="00B77798"/>
    <w:rsid w:val="00B81C79"/>
    <w:rsid w:val="00B81DA1"/>
    <w:rsid w:val="00B821F1"/>
    <w:rsid w:val="00B832B1"/>
    <w:rsid w:val="00B83BCA"/>
    <w:rsid w:val="00B859A1"/>
    <w:rsid w:val="00B859EA"/>
    <w:rsid w:val="00B86E6C"/>
    <w:rsid w:val="00B87A48"/>
    <w:rsid w:val="00B91139"/>
    <w:rsid w:val="00B923E1"/>
    <w:rsid w:val="00B92B82"/>
    <w:rsid w:val="00B949C0"/>
    <w:rsid w:val="00B94EB5"/>
    <w:rsid w:val="00B96B9D"/>
    <w:rsid w:val="00B976E4"/>
    <w:rsid w:val="00B97841"/>
    <w:rsid w:val="00B97A3A"/>
    <w:rsid w:val="00B97F11"/>
    <w:rsid w:val="00BA191C"/>
    <w:rsid w:val="00BA2525"/>
    <w:rsid w:val="00BA2A60"/>
    <w:rsid w:val="00BA4B77"/>
    <w:rsid w:val="00BA51D0"/>
    <w:rsid w:val="00BA589A"/>
    <w:rsid w:val="00BA698B"/>
    <w:rsid w:val="00BA6F07"/>
    <w:rsid w:val="00BA6FBC"/>
    <w:rsid w:val="00BA72CB"/>
    <w:rsid w:val="00BA7DBF"/>
    <w:rsid w:val="00BB0097"/>
    <w:rsid w:val="00BB09B2"/>
    <w:rsid w:val="00BB21E2"/>
    <w:rsid w:val="00BB343B"/>
    <w:rsid w:val="00BB39B9"/>
    <w:rsid w:val="00BB52D9"/>
    <w:rsid w:val="00BB6157"/>
    <w:rsid w:val="00BB6CC2"/>
    <w:rsid w:val="00BB7D08"/>
    <w:rsid w:val="00BC0B37"/>
    <w:rsid w:val="00BC0B64"/>
    <w:rsid w:val="00BC169C"/>
    <w:rsid w:val="00BC2FF3"/>
    <w:rsid w:val="00BC3614"/>
    <w:rsid w:val="00BC3751"/>
    <w:rsid w:val="00BC3F21"/>
    <w:rsid w:val="00BC4C69"/>
    <w:rsid w:val="00BC50AA"/>
    <w:rsid w:val="00BC59DC"/>
    <w:rsid w:val="00BC66CD"/>
    <w:rsid w:val="00BD0059"/>
    <w:rsid w:val="00BD06C7"/>
    <w:rsid w:val="00BD0704"/>
    <w:rsid w:val="00BD0907"/>
    <w:rsid w:val="00BD0908"/>
    <w:rsid w:val="00BD0937"/>
    <w:rsid w:val="00BD1168"/>
    <w:rsid w:val="00BD1746"/>
    <w:rsid w:val="00BD2041"/>
    <w:rsid w:val="00BD2705"/>
    <w:rsid w:val="00BD31D5"/>
    <w:rsid w:val="00BD3696"/>
    <w:rsid w:val="00BD45C3"/>
    <w:rsid w:val="00BD4CBF"/>
    <w:rsid w:val="00BD4E15"/>
    <w:rsid w:val="00BD5C8A"/>
    <w:rsid w:val="00BD65A6"/>
    <w:rsid w:val="00BD65E4"/>
    <w:rsid w:val="00BD6CA5"/>
    <w:rsid w:val="00BD772D"/>
    <w:rsid w:val="00BE09F6"/>
    <w:rsid w:val="00BE130E"/>
    <w:rsid w:val="00BE149F"/>
    <w:rsid w:val="00BE1DFF"/>
    <w:rsid w:val="00BE1E5F"/>
    <w:rsid w:val="00BE21CE"/>
    <w:rsid w:val="00BE2DF0"/>
    <w:rsid w:val="00BE39BA"/>
    <w:rsid w:val="00BE39C1"/>
    <w:rsid w:val="00BE3D4C"/>
    <w:rsid w:val="00BE4F82"/>
    <w:rsid w:val="00BE59CC"/>
    <w:rsid w:val="00BE5DEF"/>
    <w:rsid w:val="00BE6403"/>
    <w:rsid w:val="00BE7561"/>
    <w:rsid w:val="00BE79C4"/>
    <w:rsid w:val="00BF060B"/>
    <w:rsid w:val="00BF103C"/>
    <w:rsid w:val="00BF1E18"/>
    <w:rsid w:val="00BF2091"/>
    <w:rsid w:val="00BF274F"/>
    <w:rsid w:val="00BF289B"/>
    <w:rsid w:val="00BF331D"/>
    <w:rsid w:val="00BF399D"/>
    <w:rsid w:val="00BF4040"/>
    <w:rsid w:val="00BF40E7"/>
    <w:rsid w:val="00BF4508"/>
    <w:rsid w:val="00BF459F"/>
    <w:rsid w:val="00BF5865"/>
    <w:rsid w:val="00BF5FAF"/>
    <w:rsid w:val="00BF657E"/>
    <w:rsid w:val="00C00835"/>
    <w:rsid w:val="00C012FC"/>
    <w:rsid w:val="00C01BD2"/>
    <w:rsid w:val="00C01EAA"/>
    <w:rsid w:val="00C028CA"/>
    <w:rsid w:val="00C03054"/>
    <w:rsid w:val="00C0385B"/>
    <w:rsid w:val="00C04809"/>
    <w:rsid w:val="00C05084"/>
    <w:rsid w:val="00C07140"/>
    <w:rsid w:val="00C07AA5"/>
    <w:rsid w:val="00C114E4"/>
    <w:rsid w:val="00C11735"/>
    <w:rsid w:val="00C122B1"/>
    <w:rsid w:val="00C12468"/>
    <w:rsid w:val="00C127DD"/>
    <w:rsid w:val="00C128AF"/>
    <w:rsid w:val="00C129FD"/>
    <w:rsid w:val="00C1397B"/>
    <w:rsid w:val="00C15245"/>
    <w:rsid w:val="00C153ED"/>
    <w:rsid w:val="00C15E8B"/>
    <w:rsid w:val="00C15F17"/>
    <w:rsid w:val="00C16E0F"/>
    <w:rsid w:val="00C2082C"/>
    <w:rsid w:val="00C21675"/>
    <w:rsid w:val="00C2171F"/>
    <w:rsid w:val="00C24F4C"/>
    <w:rsid w:val="00C2515D"/>
    <w:rsid w:val="00C259C4"/>
    <w:rsid w:val="00C2683C"/>
    <w:rsid w:val="00C27ADA"/>
    <w:rsid w:val="00C27C32"/>
    <w:rsid w:val="00C30076"/>
    <w:rsid w:val="00C30C4E"/>
    <w:rsid w:val="00C318C2"/>
    <w:rsid w:val="00C319AE"/>
    <w:rsid w:val="00C319D2"/>
    <w:rsid w:val="00C3259B"/>
    <w:rsid w:val="00C3278A"/>
    <w:rsid w:val="00C33165"/>
    <w:rsid w:val="00C33789"/>
    <w:rsid w:val="00C33A1B"/>
    <w:rsid w:val="00C3416D"/>
    <w:rsid w:val="00C35695"/>
    <w:rsid w:val="00C367F2"/>
    <w:rsid w:val="00C37D9B"/>
    <w:rsid w:val="00C40592"/>
    <w:rsid w:val="00C41491"/>
    <w:rsid w:val="00C415CE"/>
    <w:rsid w:val="00C41BE3"/>
    <w:rsid w:val="00C41E46"/>
    <w:rsid w:val="00C422E7"/>
    <w:rsid w:val="00C43B55"/>
    <w:rsid w:val="00C456F5"/>
    <w:rsid w:val="00C460E3"/>
    <w:rsid w:val="00C46E12"/>
    <w:rsid w:val="00C47B6C"/>
    <w:rsid w:val="00C50488"/>
    <w:rsid w:val="00C505A0"/>
    <w:rsid w:val="00C50F68"/>
    <w:rsid w:val="00C51594"/>
    <w:rsid w:val="00C51913"/>
    <w:rsid w:val="00C5226C"/>
    <w:rsid w:val="00C52D58"/>
    <w:rsid w:val="00C53F6F"/>
    <w:rsid w:val="00C5438C"/>
    <w:rsid w:val="00C54957"/>
    <w:rsid w:val="00C5525E"/>
    <w:rsid w:val="00C55809"/>
    <w:rsid w:val="00C55DC4"/>
    <w:rsid w:val="00C56449"/>
    <w:rsid w:val="00C601FE"/>
    <w:rsid w:val="00C607D3"/>
    <w:rsid w:val="00C6208B"/>
    <w:rsid w:val="00C621B0"/>
    <w:rsid w:val="00C62258"/>
    <w:rsid w:val="00C640EA"/>
    <w:rsid w:val="00C6445D"/>
    <w:rsid w:val="00C64691"/>
    <w:rsid w:val="00C653DD"/>
    <w:rsid w:val="00C66243"/>
    <w:rsid w:val="00C66472"/>
    <w:rsid w:val="00C665CB"/>
    <w:rsid w:val="00C669B4"/>
    <w:rsid w:val="00C66D0E"/>
    <w:rsid w:val="00C67262"/>
    <w:rsid w:val="00C6767E"/>
    <w:rsid w:val="00C67683"/>
    <w:rsid w:val="00C67E39"/>
    <w:rsid w:val="00C71349"/>
    <w:rsid w:val="00C71F52"/>
    <w:rsid w:val="00C72E1A"/>
    <w:rsid w:val="00C73256"/>
    <w:rsid w:val="00C733EB"/>
    <w:rsid w:val="00C7361C"/>
    <w:rsid w:val="00C7380D"/>
    <w:rsid w:val="00C749CA"/>
    <w:rsid w:val="00C751D7"/>
    <w:rsid w:val="00C753C0"/>
    <w:rsid w:val="00C76254"/>
    <w:rsid w:val="00C765E5"/>
    <w:rsid w:val="00C767CC"/>
    <w:rsid w:val="00C77144"/>
    <w:rsid w:val="00C77213"/>
    <w:rsid w:val="00C7764A"/>
    <w:rsid w:val="00C82BE4"/>
    <w:rsid w:val="00C83127"/>
    <w:rsid w:val="00C853F7"/>
    <w:rsid w:val="00C8541D"/>
    <w:rsid w:val="00C86B97"/>
    <w:rsid w:val="00C90C4A"/>
    <w:rsid w:val="00C91CDD"/>
    <w:rsid w:val="00C91D63"/>
    <w:rsid w:val="00C924AD"/>
    <w:rsid w:val="00C92A7B"/>
    <w:rsid w:val="00C94B09"/>
    <w:rsid w:val="00C95864"/>
    <w:rsid w:val="00C97379"/>
    <w:rsid w:val="00CA0797"/>
    <w:rsid w:val="00CA1474"/>
    <w:rsid w:val="00CA1CF6"/>
    <w:rsid w:val="00CA1F49"/>
    <w:rsid w:val="00CA3436"/>
    <w:rsid w:val="00CA36BF"/>
    <w:rsid w:val="00CA3FB9"/>
    <w:rsid w:val="00CA5625"/>
    <w:rsid w:val="00CA61F6"/>
    <w:rsid w:val="00CA649E"/>
    <w:rsid w:val="00CA6BE2"/>
    <w:rsid w:val="00CA7458"/>
    <w:rsid w:val="00CA793A"/>
    <w:rsid w:val="00CB0A50"/>
    <w:rsid w:val="00CB220D"/>
    <w:rsid w:val="00CB3C54"/>
    <w:rsid w:val="00CB4E21"/>
    <w:rsid w:val="00CB4EA4"/>
    <w:rsid w:val="00CB6329"/>
    <w:rsid w:val="00CB6DF6"/>
    <w:rsid w:val="00CB6F9F"/>
    <w:rsid w:val="00CB75CB"/>
    <w:rsid w:val="00CB7931"/>
    <w:rsid w:val="00CB7DAD"/>
    <w:rsid w:val="00CB7DC0"/>
    <w:rsid w:val="00CB7DF5"/>
    <w:rsid w:val="00CC00A8"/>
    <w:rsid w:val="00CC091A"/>
    <w:rsid w:val="00CC109A"/>
    <w:rsid w:val="00CC15FD"/>
    <w:rsid w:val="00CC3A10"/>
    <w:rsid w:val="00CC4200"/>
    <w:rsid w:val="00CC460D"/>
    <w:rsid w:val="00CC5A95"/>
    <w:rsid w:val="00CC6878"/>
    <w:rsid w:val="00CC7850"/>
    <w:rsid w:val="00CD0945"/>
    <w:rsid w:val="00CD0BFF"/>
    <w:rsid w:val="00CD257C"/>
    <w:rsid w:val="00CD2591"/>
    <w:rsid w:val="00CD26A5"/>
    <w:rsid w:val="00CD2F26"/>
    <w:rsid w:val="00CD33BB"/>
    <w:rsid w:val="00CD4B74"/>
    <w:rsid w:val="00CD64E1"/>
    <w:rsid w:val="00CD6D46"/>
    <w:rsid w:val="00CD7336"/>
    <w:rsid w:val="00CD75C6"/>
    <w:rsid w:val="00CD7938"/>
    <w:rsid w:val="00CE1D9E"/>
    <w:rsid w:val="00CE2D62"/>
    <w:rsid w:val="00CE4DBC"/>
    <w:rsid w:val="00CE5FBB"/>
    <w:rsid w:val="00CE6734"/>
    <w:rsid w:val="00CE7FF4"/>
    <w:rsid w:val="00CF0485"/>
    <w:rsid w:val="00CF1C87"/>
    <w:rsid w:val="00CF2E23"/>
    <w:rsid w:val="00CF2E4A"/>
    <w:rsid w:val="00CF3F38"/>
    <w:rsid w:val="00CF4001"/>
    <w:rsid w:val="00CF4221"/>
    <w:rsid w:val="00CF4D54"/>
    <w:rsid w:val="00CF4F3F"/>
    <w:rsid w:val="00CF59BD"/>
    <w:rsid w:val="00CF5FDA"/>
    <w:rsid w:val="00CF6082"/>
    <w:rsid w:val="00CF73A9"/>
    <w:rsid w:val="00CF761A"/>
    <w:rsid w:val="00D00468"/>
    <w:rsid w:val="00D01898"/>
    <w:rsid w:val="00D02076"/>
    <w:rsid w:val="00D03412"/>
    <w:rsid w:val="00D034A9"/>
    <w:rsid w:val="00D035E6"/>
    <w:rsid w:val="00D047D6"/>
    <w:rsid w:val="00D04BCF"/>
    <w:rsid w:val="00D04E59"/>
    <w:rsid w:val="00D05623"/>
    <w:rsid w:val="00D05E6D"/>
    <w:rsid w:val="00D06513"/>
    <w:rsid w:val="00D065F6"/>
    <w:rsid w:val="00D06833"/>
    <w:rsid w:val="00D06A5A"/>
    <w:rsid w:val="00D0723C"/>
    <w:rsid w:val="00D110BC"/>
    <w:rsid w:val="00D12484"/>
    <w:rsid w:val="00D143DE"/>
    <w:rsid w:val="00D15117"/>
    <w:rsid w:val="00D15958"/>
    <w:rsid w:val="00D15ECB"/>
    <w:rsid w:val="00D1651D"/>
    <w:rsid w:val="00D203C0"/>
    <w:rsid w:val="00D2135B"/>
    <w:rsid w:val="00D22ABB"/>
    <w:rsid w:val="00D23E6E"/>
    <w:rsid w:val="00D24518"/>
    <w:rsid w:val="00D24DCF"/>
    <w:rsid w:val="00D318E2"/>
    <w:rsid w:val="00D31E67"/>
    <w:rsid w:val="00D326E7"/>
    <w:rsid w:val="00D34260"/>
    <w:rsid w:val="00D354EA"/>
    <w:rsid w:val="00D35586"/>
    <w:rsid w:val="00D377B9"/>
    <w:rsid w:val="00D40E59"/>
    <w:rsid w:val="00D41E0D"/>
    <w:rsid w:val="00D42F21"/>
    <w:rsid w:val="00D42F5E"/>
    <w:rsid w:val="00D43CE6"/>
    <w:rsid w:val="00D44476"/>
    <w:rsid w:val="00D44CDB"/>
    <w:rsid w:val="00D44DA4"/>
    <w:rsid w:val="00D44E50"/>
    <w:rsid w:val="00D507E3"/>
    <w:rsid w:val="00D50B99"/>
    <w:rsid w:val="00D53765"/>
    <w:rsid w:val="00D566CA"/>
    <w:rsid w:val="00D570F5"/>
    <w:rsid w:val="00D5779F"/>
    <w:rsid w:val="00D57A72"/>
    <w:rsid w:val="00D57C2D"/>
    <w:rsid w:val="00D6063D"/>
    <w:rsid w:val="00D6093F"/>
    <w:rsid w:val="00D60DFD"/>
    <w:rsid w:val="00D6144A"/>
    <w:rsid w:val="00D616C1"/>
    <w:rsid w:val="00D61CB2"/>
    <w:rsid w:val="00D61EC4"/>
    <w:rsid w:val="00D63F49"/>
    <w:rsid w:val="00D64B86"/>
    <w:rsid w:val="00D655CB"/>
    <w:rsid w:val="00D6582C"/>
    <w:rsid w:val="00D65DD3"/>
    <w:rsid w:val="00D66111"/>
    <w:rsid w:val="00D6652E"/>
    <w:rsid w:val="00D66FB8"/>
    <w:rsid w:val="00D672FB"/>
    <w:rsid w:val="00D674F0"/>
    <w:rsid w:val="00D703F3"/>
    <w:rsid w:val="00D71539"/>
    <w:rsid w:val="00D728BF"/>
    <w:rsid w:val="00D7353F"/>
    <w:rsid w:val="00D7465F"/>
    <w:rsid w:val="00D75D95"/>
    <w:rsid w:val="00D76178"/>
    <w:rsid w:val="00D76219"/>
    <w:rsid w:val="00D76678"/>
    <w:rsid w:val="00D776C5"/>
    <w:rsid w:val="00D77B9A"/>
    <w:rsid w:val="00D813F1"/>
    <w:rsid w:val="00D8201C"/>
    <w:rsid w:val="00D8274F"/>
    <w:rsid w:val="00D837AA"/>
    <w:rsid w:val="00D83BAB"/>
    <w:rsid w:val="00D85DF4"/>
    <w:rsid w:val="00D86174"/>
    <w:rsid w:val="00D86AEC"/>
    <w:rsid w:val="00D86B22"/>
    <w:rsid w:val="00D86B23"/>
    <w:rsid w:val="00D874B2"/>
    <w:rsid w:val="00D87BDB"/>
    <w:rsid w:val="00D87F89"/>
    <w:rsid w:val="00D904BC"/>
    <w:rsid w:val="00D91E6A"/>
    <w:rsid w:val="00D91F01"/>
    <w:rsid w:val="00D91F4F"/>
    <w:rsid w:val="00D92042"/>
    <w:rsid w:val="00D925E7"/>
    <w:rsid w:val="00D93223"/>
    <w:rsid w:val="00D93C7C"/>
    <w:rsid w:val="00D944D3"/>
    <w:rsid w:val="00D94C58"/>
    <w:rsid w:val="00D96E07"/>
    <w:rsid w:val="00D97F29"/>
    <w:rsid w:val="00DA0102"/>
    <w:rsid w:val="00DA0ADA"/>
    <w:rsid w:val="00DA254A"/>
    <w:rsid w:val="00DA261C"/>
    <w:rsid w:val="00DA26D7"/>
    <w:rsid w:val="00DA2FAC"/>
    <w:rsid w:val="00DA33FC"/>
    <w:rsid w:val="00DA3549"/>
    <w:rsid w:val="00DA3699"/>
    <w:rsid w:val="00DA3ACA"/>
    <w:rsid w:val="00DA6394"/>
    <w:rsid w:val="00DA67A9"/>
    <w:rsid w:val="00DA7680"/>
    <w:rsid w:val="00DB1BDF"/>
    <w:rsid w:val="00DB2242"/>
    <w:rsid w:val="00DB3158"/>
    <w:rsid w:val="00DB39A7"/>
    <w:rsid w:val="00DB3EE3"/>
    <w:rsid w:val="00DB5603"/>
    <w:rsid w:val="00DB5912"/>
    <w:rsid w:val="00DB5D3B"/>
    <w:rsid w:val="00DB68D9"/>
    <w:rsid w:val="00DB6F05"/>
    <w:rsid w:val="00DB7143"/>
    <w:rsid w:val="00DB73CD"/>
    <w:rsid w:val="00DB7C99"/>
    <w:rsid w:val="00DC0500"/>
    <w:rsid w:val="00DC0611"/>
    <w:rsid w:val="00DC0782"/>
    <w:rsid w:val="00DC1F25"/>
    <w:rsid w:val="00DC4011"/>
    <w:rsid w:val="00DC5F68"/>
    <w:rsid w:val="00DC64DB"/>
    <w:rsid w:val="00DC65B3"/>
    <w:rsid w:val="00DC6654"/>
    <w:rsid w:val="00DD0AFA"/>
    <w:rsid w:val="00DD0BA4"/>
    <w:rsid w:val="00DD26FC"/>
    <w:rsid w:val="00DD3DE2"/>
    <w:rsid w:val="00DD45C5"/>
    <w:rsid w:val="00DD699D"/>
    <w:rsid w:val="00DD6ECF"/>
    <w:rsid w:val="00DD78A4"/>
    <w:rsid w:val="00DD7B66"/>
    <w:rsid w:val="00DE27D1"/>
    <w:rsid w:val="00DE474F"/>
    <w:rsid w:val="00DE4D2B"/>
    <w:rsid w:val="00DE54B6"/>
    <w:rsid w:val="00DE554D"/>
    <w:rsid w:val="00DE5701"/>
    <w:rsid w:val="00DE5D29"/>
    <w:rsid w:val="00DE5F19"/>
    <w:rsid w:val="00DE6085"/>
    <w:rsid w:val="00DE60CF"/>
    <w:rsid w:val="00DE629F"/>
    <w:rsid w:val="00DE6588"/>
    <w:rsid w:val="00DE669D"/>
    <w:rsid w:val="00DF25CC"/>
    <w:rsid w:val="00DF39E2"/>
    <w:rsid w:val="00DF4E1D"/>
    <w:rsid w:val="00DF5C9A"/>
    <w:rsid w:val="00DF669F"/>
    <w:rsid w:val="00DF728C"/>
    <w:rsid w:val="00DF7B9B"/>
    <w:rsid w:val="00E00478"/>
    <w:rsid w:val="00E012DE"/>
    <w:rsid w:val="00E01336"/>
    <w:rsid w:val="00E0140B"/>
    <w:rsid w:val="00E019E2"/>
    <w:rsid w:val="00E01B6F"/>
    <w:rsid w:val="00E0506A"/>
    <w:rsid w:val="00E05168"/>
    <w:rsid w:val="00E05D49"/>
    <w:rsid w:val="00E05DD5"/>
    <w:rsid w:val="00E0626F"/>
    <w:rsid w:val="00E06E9B"/>
    <w:rsid w:val="00E07B6E"/>
    <w:rsid w:val="00E1066A"/>
    <w:rsid w:val="00E10756"/>
    <w:rsid w:val="00E12577"/>
    <w:rsid w:val="00E128FB"/>
    <w:rsid w:val="00E12FB0"/>
    <w:rsid w:val="00E13D5E"/>
    <w:rsid w:val="00E13DF0"/>
    <w:rsid w:val="00E13EBC"/>
    <w:rsid w:val="00E1460D"/>
    <w:rsid w:val="00E175C1"/>
    <w:rsid w:val="00E20B99"/>
    <w:rsid w:val="00E21A7E"/>
    <w:rsid w:val="00E229B6"/>
    <w:rsid w:val="00E22B87"/>
    <w:rsid w:val="00E22DC9"/>
    <w:rsid w:val="00E239A8"/>
    <w:rsid w:val="00E23FC8"/>
    <w:rsid w:val="00E2439D"/>
    <w:rsid w:val="00E24792"/>
    <w:rsid w:val="00E25F00"/>
    <w:rsid w:val="00E26683"/>
    <w:rsid w:val="00E308A8"/>
    <w:rsid w:val="00E30F80"/>
    <w:rsid w:val="00E316BD"/>
    <w:rsid w:val="00E31A98"/>
    <w:rsid w:val="00E3200C"/>
    <w:rsid w:val="00E327FF"/>
    <w:rsid w:val="00E32D0B"/>
    <w:rsid w:val="00E32DBA"/>
    <w:rsid w:val="00E32E9F"/>
    <w:rsid w:val="00E33E9D"/>
    <w:rsid w:val="00E3460E"/>
    <w:rsid w:val="00E35110"/>
    <w:rsid w:val="00E37947"/>
    <w:rsid w:val="00E409AD"/>
    <w:rsid w:val="00E40DE8"/>
    <w:rsid w:val="00E4110A"/>
    <w:rsid w:val="00E4261A"/>
    <w:rsid w:val="00E42C3F"/>
    <w:rsid w:val="00E43CB7"/>
    <w:rsid w:val="00E44D8E"/>
    <w:rsid w:val="00E4554D"/>
    <w:rsid w:val="00E46188"/>
    <w:rsid w:val="00E46803"/>
    <w:rsid w:val="00E476C2"/>
    <w:rsid w:val="00E504B0"/>
    <w:rsid w:val="00E51175"/>
    <w:rsid w:val="00E529A5"/>
    <w:rsid w:val="00E530BA"/>
    <w:rsid w:val="00E5383B"/>
    <w:rsid w:val="00E54C15"/>
    <w:rsid w:val="00E557BD"/>
    <w:rsid w:val="00E606DF"/>
    <w:rsid w:val="00E60F60"/>
    <w:rsid w:val="00E61665"/>
    <w:rsid w:val="00E61DB6"/>
    <w:rsid w:val="00E62143"/>
    <w:rsid w:val="00E62736"/>
    <w:rsid w:val="00E62CC1"/>
    <w:rsid w:val="00E634FA"/>
    <w:rsid w:val="00E64E03"/>
    <w:rsid w:val="00E6543A"/>
    <w:rsid w:val="00E66B23"/>
    <w:rsid w:val="00E66E5B"/>
    <w:rsid w:val="00E66E72"/>
    <w:rsid w:val="00E66F40"/>
    <w:rsid w:val="00E6726E"/>
    <w:rsid w:val="00E674D4"/>
    <w:rsid w:val="00E70049"/>
    <w:rsid w:val="00E71596"/>
    <w:rsid w:val="00E7180C"/>
    <w:rsid w:val="00E71898"/>
    <w:rsid w:val="00E71D6A"/>
    <w:rsid w:val="00E72913"/>
    <w:rsid w:val="00E74AC9"/>
    <w:rsid w:val="00E74C50"/>
    <w:rsid w:val="00E753FF"/>
    <w:rsid w:val="00E75856"/>
    <w:rsid w:val="00E75A42"/>
    <w:rsid w:val="00E766B3"/>
    <w:rsid w:val="00E76F0B"/>
    <w:rsid w:val="00E770BA"/>
    <w:rsid w:val="00E774A7"/>
    <w:rsid w:val="00E77E73"/>
    <w:rsid w:val="00E805C8"/>
    <w:rsid w:val="00E80972"/>
    <w:rsid w:val="00E829E7"/>
    <w:rsid w:val="00E83023"/>
    <w:rsid w:val="00E8399C"/>
    <w:rsid w:val="00E84AE5"/>
    <w:rsid w:val="00E8507D"/>
    <w:rsid w:val="00E85D03"/>
    <w:rsid w:val="00E86746"/>
    <w:rsid w:val="00E867D5"/>
    <w:rsid w:val="00E870B9"/>
    <w:rsid w:val="00E87A05"/>
    <w:rsid w:val="00E90329"/>
    <w:rsid w:val="00E9217D"/>
    <w:rsid w:val="00E9295A"/>
    <w:rsid w:val="00E92A8B"/>
    <w:rsid w:val="00E934A2"/>
    <w:rsid w:val="00E93673"/>
    <w:rsid w:val="00E9564D"/>
    <w:rsid w:val="00E95BB5"/>
    <w:rsid w:val="00E973CC"/>
    <w:rsid w:val="00E97CF7"/>
    <w:rsid w:val="00EA067D"/>
    <w:rsid w:val="00EA1CAA"/>
    <w:rsid w:val="00EA3205"/>
    <w:rsid w:val="00EA3AEA"/>
    <w:rsid w:val="00EA3F37"/>
    <w:rsid w:val="00EA579B"/>
    <w:rsid w:val="00EA63C5"/>
    <w:rsid w:val="00EA68D7"/>
    <w:rsid w:val="00EA71A6"/>
    <w:rsid w:val="00EA7422"/>
    <w:rsid w:val="00EB0385"/>
    <w:rsid w:val="00EB0F3B"/>
    <w:rsid w:val="00EB170E"/>
    <w:rsid w:val="00EB179E"/>
    <w:rsid w:val="00EB351A"/>
    <w:rsid w:val="00EB35EB"/>
    <w:rsid w:val="00EB387F"/>
    <w:rsid w:val="00EB569C"/>
    <w:rsid w:val="00EB5C81"/>
    <w:rsid w:val="00EB6FF4"/>
    <w:rsid w:val="00EC1388"/>
    <w:rsid w:val="00EC1B06"/>
    <w:rsid w:val="00EC24CD"/>
    <w:rsid w:val="00EC29BC"/>
    <w:rsid w:val="00EC3A83"/>
    <w:rsid w:val="00EC4A96"/>
    <w:rsid w:val="00EC55C4"/>
    <w:rsid w:val="00EC5887"/>
    <w:rsid w:val="00EC5FE9"/>
    <w:rsid w:val="00EC67C4"/>
    <w:rsid w:val="00EC7141"/>
    <w:rsid w:val="00EC7994"/>
    <w:rsid w:val="00ED0047"/>
    <w:rsid w:val="00ED01B5"/>
    <w:rsid w:val="00ED029D"/>
    <w:rsid w:val="00ED02E6"/>
    <w:rsid w:val="00ED063C"/>
    <w:rsid w:val="00ED0FD2"/>
    <w:rsid w:val="00ED12EB"/>
    <w:rsid w:val="00ED192A"/>
    <w:rsid w:val="00ED2159"/>
    <w:rsid w:val="00ED3281"/>
    <w:rsid w:val="00ED384E"/>
    <w:rsid w:val="00ED39C4"/>
    <w:rsid w:val="00ED3C91"/>
    <w:rsid w:val="00ED538D"/>
    <w:rsid w:val="00ED644C"/>
    <w:rsid w:val="00ED7C1E"/>
    <w:rsid w:val="00ED7DCA"/>
    <w:rsid w:val="00EE3713"/>
    <w:rsid w:val="00EE3990"/>
    <w:rsid w:val="00EE3CBD"/>
    <w:rsid w:val="00EE4468"/>
    <w:rsid w:val="00EE4FF1"/>
    <w:rsid w:val="00EE5332"/>
    <w:rsid w:val="00EE5EB1"/>
    <w:rsid w:val="00EF12C8"/>
    <w:rsid w:val="00EF13D1"/>
    <w:rsid w:val="00EF1FA2"/>
    <w:rsid w:val="00EF2BA2"/>
    <w:rsid w:val="00EF492B"/>
    <w:rsid w:val="00EF501A"/>
    <w:rsid w:val="00EF5168"/>
    <w:rsid w:val="00EF57FB"/>
    <w:rsid w:val="00EF58AD"/>
    <w:rsid w:val="00EF5B2E"/>
    <w:rsid w:val="00EF6BDD"/>
    <w:rsid w:val="00F00819"/>
    <w:rsid w:val="00F017BF"/>
    <w:rsid w:val="00F01F08"/>
    <w:rsid w:val="00F01F21"/>
    <w:rsid w:val="00F0243C"/>
    <w:rsid w:val="00F0299F"/>
    <w:rsid w:val="00F02E18"/>
    <w:rsid w:val="00F0381D"/>
    <w:rsid w:val="00F038EB"/>
    <w:rsid w:val="00F04DBB"/>
    <w:rsid w:val="00F058BA"/>
    <w:rsid w:val="00F06476"/>
    <w:rsid w:val="00F06CC0"/>
    <w:rsid w:val="00F078D0"/>
    <w:rsid w:val="00F10759"/>
    <w:rsid w:val="00F10967"/>
    <w:rsid w:val="00F10C8F"/>
    <w:rsid w:val="00F110E6"/>
    <w:rsid w:val="00F132CF"/>
    <w:rsid w:val="00F15258"/>
    <w:rsid w:val="00F15D09"/>
    <w:rsid w:val="00F15E6F"/>
    <w:rsid w:val="00F17B79"/>
    <w:rsid w:val="00F2048D"/>
    <w:rsid w:val="00F21A6B"/>
    <w:rsid w:val="00F21CAA"/>
    <w:rsid w:val="00F21E6F"/>
    <w:rsid w:val="00F222EB"/>
    <w:rsid w:val="00F2387D"/>
    <w:rsid w:val="00F24017"/>
    <w:rsid w:val="00F24254"/>
    <w:rsid w:val="00F26B36"/>
    <w:rsid w:val="00F26B8F"/>
    <w:rsid w:val="00F26EE9"/>
    <w:rsid w:val="00F27297"/>
    <w:rsid w:val="00F27FCA"/>
    <w:rsid w:val="00F306B2"/>
    <w:rsid w:val="00F30A73"/>
    <w:rsid w:val="00F30A7F"/>
    <w:rsid w:val="00F31086"/>
    <w:rsid w:val="00F313F8"/>
    <w:rsid w:val="00F31AF1"/>
    <w:rsid w:val="00F31EBE"/>
    <w:rsid w:val="00F323C4"/>
    <w:rsid w:val="00F33E31"/>
    <w:rsid w:val="00F347DE"/>
    <w:rsid w:val="00F34CEE"/>
    <w:rsid w:val="00F34D19"/>
    <w:rsid w:val="00F35236"/>
    <w:rsid w:val="00F35B04"/>
    <w:rsid w:val="00F3683B"/>
    <w:rsid w:val="00F370AA"/>
    <w:rsid w:val="00F413D1"/>
    <w:rsid w:val="00F4146E"/>
    <w:rsid w:val="00F42479"/>
    <w:rsid w:val="00F4324C"/>
    <w:rsid w:val="00F43F42"/>
    <w:rsid w:val="00F44AEB"/>
    <w:rsid w:val="00F44B72"/>
    <w:rsid w:val="00F44E7B"/>
    <w:rsid w:val="00F45B36"/>
    <w:rsid w:val="00F463A8"/>
    <w:rsid w:val="00F46405"/>
    <w:rsid w:val="00F46AB7"/>
    <w:rsid w:val="00F47794"/>
    <w:rsid w:val="00F50F0F"/>
    <w:rsid w:val="00F51734"/>
    <w:rsid w:val="00F51E6E"/>
    <w:rsid w:val="00F51ED8"/>
    <w:rsid w:val="00F53F9C"/>
    <w:rsid w:val="00F54111"/>
    <w:rsid w:val="00F545B1"/>
    <w:rsid w:val="00F54B44"/>
    <w:rsid w:val="00F54C0D"/>
    <w:rsid w:val="00F55266"/>
    <w:rsid w:val="00F5636A"/>
    <w:rsid w:val="00F56A8C"/>
    <w:rsid w:val="00F56D00"/>
    <w:rsid w:val="00F57D35"/>
    <w:rsid w:val="00F608DC"/>
    <w:rsid w:val="00F60B85"/>
    <w:rsid w:val="00F62A06"/>
    <w:rsid w:val="00F63096"/>
    <w:rsid w:val="00F63D23"/>
    <w:rsid w:val="00F6450D"/>
    <w:rsid w:val="00F65ED4"/>
    <w:rsid w:val="00F662FA"/>
    <w:rsid w:val="00F662FC"/>
    <w:rsid w:val="00F6630E"/>
    <w:rsid w:val="00F666B2"/>
    <w:rsid w:val="00F66821"/>
    <w:rsid w:val="00F67C4A"/>
    <w:rsid w:val="00F70AEB"/>
    <w:rsid w:val="00F717E6"/>
    <w:rsid w:val="00F71BC3"/>
    <w:rsid w:val="00F71FB8"/>
    <w:rsid w:val="00F72839"/>
    <w:rsid w:val="00F74AFA"/>
    <w:rsid w:val="00F750CE"/>
    <w:rsid w:val="00F75204"/>
    <w:rsid w:val="00F76332"/>
    <w:rsid w:val="00F7678E"/>
    <w:rsid w:val="00F77668"/>
    <w:rsid w:val="00F8012C"/>
    <w:rsid w:val="00F80EF0"/>
    <w:rsid w:val="00F80F11"/>
    <w:rsid w:val="00F813EC"/>
    <w:rsid w:val="00F816FF"/>
    <w:rsid w:val="00F81776"/>
    <w:rsid w:val="00F836B6"/>
    <w:rsid w:val="00F83846"/>
    <w:rsid w:val="00F84936"/>
    <w:rsid w:val="00F85831"/>
    <w:rsid w:val="00F85850"/>
    <w:rsid w:val="00F8590D"/>
    <w:rsid w:val="00F85C65"/>
    <w:rsid w:val="00F86154"/>
    <w:rsid w:val="00F8638B"/>
    <w:rsid w:val="00F86AED"/>
    <w:rsid w:val="00F870F1"/>
    <w:rsid w:val="00F90A9D"/>
    <w:rsid w:val="00F91AFA"/>
    <w:rsid w:val="00F92B8C"/>
    <w:rsid w:val="00F92C46"/>
    <w:rsid w:val="00F93056"/>
    <w:rsid w:val="00F9343B"/>
    <w:rsid w:val="00F93444"/>
    <w:rsid w:val="00F94766"/>
    <w:rsid w:val="00F94932"/>
    <w:rsid w:val="00F94C3D"/>
    <w:rsid w:val="00F97208"/>
    <w:rsid w:val="00FA13FA"/>
    <w:rsid w:val="00FA16F6"/>
    <w:rsid w:val="00FA1B24"/>
    <w:rsid w:val="00FA33AF"/>
    <w:rsid w:val="00FA416B"/>
    <w:rsid w:val="00FA4558"/>
    <w:rsid w:val="00FA4DBE"/>
    <w:rsid w:val="00FA5BCF"/>
    <w:rsid w:val="00FB0717"/>
    <w:rsid w:val="00FB0C8D"/>
    <w:rsid w:val="00FB1D27"/>
    <w:rsid w:val="00FB1FC8"/>
    <w:rsid w:val="00FB24DE"/>
    <w:rsid w:val="00FB47A0"/>
    <w:rsid w:val="00FB4C20"/>
    <w:rsid w:val="00FB5555"/>
    <w:rsid w:val="00FB5A19"/>
    <w:rsid w:val="00FB5DCA"/>
    <w:rsid w:val="00FB7AE2"/>
    <w:rsid w:val="00FC00D8"/>
    <w:rsid w:val="00FC0D67"/>
    <w:rsid w:val="00FC11A3"/>
    <w:rsid w:val="00FC127D"/>
    <w:rsid w:val="00FC1C95"/>
    <w:rsid w:val="00FC2841"/>
    <w:rsid w:val="00FC3A98"/>
    <w:rsid w:val="00FC4AD3"/>
    <w:rsid w:val="00FC4D4E"/>
    <w:rsid w:val="00FC5506"/>
    <w:rsid w:val="00FC67D2"/>
    <w:rsid w:val="00FC68E2"/>
    <w:rsid w:val="00FC6B5B"/>
    <w:rsid w:val="00FC6C2C"/>
    <w:rsid w:val="00FD2C27"/>
    <w:rsid w:val="00FD3FAC"/>
    <w:rsid w:val="00FD4403"/>
    <w:rsid w:val="00FD486B"/>
    <w:rsid w:val="00FD4978"/>
    <w:rsid w:val="00FD4E4E"/>
    <w:rsid w:val="00FD51F9"/>
    <w:rsid w:val="00FD5C78"/>
    <w:rsid w:val="00FD60FB"/>
    <w:rsid w:val="00FD64DB"/>
    <w:rsid w:val="00FD69EE"/>
    <w:rsid w:val="00FD6BC6"/>
    <w:rsid w:val="00FD737D"/>
    <w:rsid w:val="00FE072A"/>
    <w:rsid w:val="00FE162A"/>
    <w:rsid w:val="00FE19E8"/>
    <w:rsid w:val="00FE3476"/>
    <w:rsid w:val="00FE3603"/>
    <w:rsid w:val="00FE4B63"/>
    <w:rsid w:val="00FE4C16"/>
    <w:rsid w:val="00FE5923"/>
    <w:rsid w:val="00FF00DB"/>
    <w:rsid w:val="00FF0BE4"/>
    <w:rsid w:val="00FF0E77"/>
    <w:rsid w:val="00FF1C1E"/>
    <w:rsid w:val="00FF1EB7"/>
    <w:rsid w:val="00FF1F66"/>
    <w:rsid w:val="00FF21E6"/>
    <w:rsid w:val="00FF224E"/>
    <w:rsid w:val="00FF2E38"/>
    <w:rsid w:val="00FF3294"/>
    <w:rsid w:val="00FF3409"/>
    <w:rsid w:val="00FF391F"/>
    <w:rsid w:val="00FF39A6"/>
    <w:rsid w:val="00FF40C3"/>
    <w:rsid w:val="00FF4E03"/>
    <w:rsid w:val="00FF58E4"/>
    <w:rsid w:val="00FF716D"/>
    <w:rsid w:val="00FF7C90"/>
    <w:rsid w:val="00FF7F5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56ED8"/>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ALTS FOOTNOTE"/>
    <w:basedOn w:val="Normale"/>
    <w:link w:val="TestonotaapidipaginaCarattere"/>
    <w:unhideWhenUsed/>
    <w:rsid w:val="00456ED8"/>
    <w:pPr>
      <w:spacing w:after="0" w:line="240" w:lineRule="auto"/>
    </w:pPr>
    <w:rPr>
      <w:sz w:val="20"/>
      <w:szCs w:val="20"/>
    </w:rPr>
  </w:style>
  <w:style w:type="character" w:customStyle="1" w:styleId="TestonotaapidipaginaCarattere">
    <w:name w:val="Testo nota a piè di pagina Carattere"/>
    <w:aliases w:val="ALTS FOOTNOTE Carattere"/>
    <w:basedOn w:val="Carpredefinitoparagrafo"/>
    <w:link w:val="Testonotaapidipagina"/>
    <w:rsid w:val="00456ED8"/>
    <w:rPr>
      <w:sz w:val="20"/>
      <w:szCs w:val="20"/>
    </w:rPr>
  </w:style>
  <w:style w:type="character" w:styleId="Rimandonotaapidipagina">
    <w:name w:val="footnote reference"/>
    <w:aliases w:val="Nota"/>
    <w:basedOn w:val="Carpredefinitoparagrafo"/>
    <w:semiHidden/>
    <w:unhideWhenUsed/>
    <w:rsid w:val="00456ED8"/>
    <w:rPr>
      <w:vertAlign w:val="superscript"/>
    </w:rPr>
  </w:style>
  <w:style w:type="paragraph" w:styleId="Paragrafoelenco">
    <w:name w:val="List Paragraph"/>
    <w:basedOn w:val="Normale"/>
    <w:uiPriority w:val="34"/>
    <w:qFormat/>
    <w:rsid w:val="00D57C2D"/>
    <w:pPr>
      <w:ind w:left="720"/>
      <w:contextualSpacing/>
    </w:pPr>
  </w:style>
  <w:style w:type="paragraph" w:styleId="Intestazione">
    <w:name w:val="header"/>
    <w:basedOn w:val="Normale"/>
    <w:link w:val="IntestazioneCarattere"/>
    <w:uiPriority w:val="99"/>
    <w:semiHidden/>
    <w:unhideWhenUsed/>
    <w:rsid w:val="00301AFC"/>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01AFC"/>
    <w:rPr>
      <w:sz w:val="22"/>
      <w:szCs w:val="22"/>
      <w:lang w:eastAsia="en-US"/>
    </w:rPr>
  </w:style>
  <w:style w:type="paragraph" w:styleId="Pidipagina">
    <w:name w:val="footer"/>
    <w:basedOn w:val="Normale"/>
    <w:link w:val="PidipaginaCarattere"/>
    <w:uiPriority w:val="99"/>
    <w:unhideWhenUsed/>
    <w:rsid w:val="00301AFC"/>
    <w:pPr>
      <w:tabs>
        <w:tab w:val="center" w:pos="4819"/>
        <w:tab w:val="right" w:pos="9638"/>
      </w:tabs>
    </w:pPr>
  </w:style>
  <w:style w:type="character" w:customStyle="1" w:styleId="PidipaginaCarattere">
    <w:name w:val="Piè di pagina Carattere"/>
    <w:basedOn w:val="Carpredefinitoparagrafo"/>
    <w:link w:val="Pidipagina"/>
    <w:uiPriority w:val="99"/>
    <w:rsid w:val="00301AFC"/>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D3838B504323B41B39D9A57A8215C56" ma:contentTypeVersion="2" ma:contentTypeDescription="Creare un nuovo documento." ma:contentTypeScope="" ma:versionID="1cd7cc346ff5337c5a3ec645570b254c">
  <xsd:schema xmlns:xsd="http://www.w3.org/2001/XMLSchema" xmlns:p="http://schemas.microsoft.com/office/2006/metadata/properties" targetNamespace="http://schemas.microsoft.com/office/2006/metadata/properties" ma:root="true" ma:fieldsID="f8922b47c7324e415f6d7dbecbe7d7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ma:readOnly="true"/>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AECE4B-DE88-4C1C-8190-428FD431E5F9}">
  <ds:schemaRefs>
    <ds:schemaRef ds:uri="http://schemas.microsoft.com/office/2006/metadata/properties"/>
  </ds:schemaRefs>
</ds:datastoreItem>
</file>

<file path=customXml/itemProps2.xml><?xml version="1.0" encoding="utf-8"?>
<ds:datastoreItem xmlns:ds="http://schemas.openxmlformats.org/officeDocument/2006/customXml" ds:itemID="{119AED31-B319-48BA-A3F3-55D074548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051FC03-7C6B-44E5-B86F-9F6F73612B3E}">
  <ds:schemaRefs>
    <ds:schemaRef ds:uri="http://schemas.microsoft.com/sharepoint/v3/contenttype/forms"/>
  </ds:schemaRefs>
</ds:datastoreItem>
</file>

<file path=customXml/itemProps4.xml><?xml version="1.0" encoding="utf-8"?>
<ds:datastoreItem xmlns:ds="http://schemas.openxmlformats.org/officeDocument/2006/customXml" ds:itemID="{FEC5E3A6-8FC8-4956-9B97-774355F06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2309</Words>
  <Characters>13162</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Battisti</dc:creator>
  <cp:lastModifiedBy>calderoni_m</cp:lastModifiedBy>
  <cp:revision>2</cp:revision>
  <cp:lastPrinted>2012-03-19T16:43:00Z</cp:lastPrinted>
  <dcterms:created xsi:type="dcterms:W3CDTF">2012-03-20T14:58:00Z</dcterms:created>
  <dcterms:modified xsi:type="dcterms:W3CDTF">2012-03-20T14:58:00Z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0x0101002D3838B504323B41B39D9A57A8215C56</vt:lpwstr>
  </property>
</Properties>
</file>