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Commoning, commons, beni comuni e beni pubblici </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Fonte (per citazione): Giorgino, Vincenzo M.B. 2019 “Wise Commoning, Life Skills in a Fair Digital Ecosystem”, presentazione al seminario di AGORA’ Project - </w:t>
      </w:r>
      <w:r w:rsidDel="00000000" w:rsidR="00000000" w:rsidRPr="00000000">
        <w:rPr>
          <w:rFonts w:ascii="Times New Roman" w:cs="Times New Roman" w:eastAsia="Times New Roman" w:hAnsi="Times New Roman"/>
          <w:i w:val="1"/>
          <w:sz w:val="24"/>
          <w:szCs w:val="24"/>
          <w:rtl w:val="0"/>
        </w:rPr>
        <w:t xml:space="preserve">We Circle Collective,</w:t>
      </w:r>
      <w:r w:rsidDel="00000000" w:rsidR="00000000" w:rsidRPr="00000000">
        <w:rPr>
          <w:rFonts w:ascii="Times New Roman" w:cs="Times New Roman" w:eastAsia="Times New Roman" w:hAnsi="Times New Roman"/>
          <w:sz w:val="24"/>
          <w:szCs w:val="24"/>
          <w:rtl w:val="0"/>
        </w:rPr>
        <w:t xml:space="preserve"> Nicosia, Cipro, 6 giugno 2019. </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 chiarimento sulla definizione.</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Innanzitutto, occorre fare una distinzione e delimitare i confini tra le due forme di proprietà collettiva: beni pubblici e commoning. Goodwin et al. (2014: 55) ci fornisce la seguente definizione di bene pubblico: </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bene (e servizio) pubblico è un bene del quale è difficile impedire a un individuo di fruirne”. </w:t>
      </w:r>
    </w:p>
    <w:p w:rsidR="00000000" w:rsidDel="00000000" w:rsidP="00000000" w:rsidRDefault="00000000" w:rsidRPr="00000000" w14:paraId="0000000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Questo significa che sono beni non escludibili (non-rivali). L’introduzione del termine </w:t>
      </w:r>
      <w:r w:rsidDel="00000000" w:rsidR="00000000" w:rsidRPr="00000000">
        <w:rPr>
          <w:rFonts w:ascii="Times New Roman" w:cs="Times New Roman" w:eastAsia="Times New Roman" w:hAnsi="Times New Roman"/>
          <w:i w:val="1"/>
          <w:sz w:val="24"/>
          <w:szCs w:val="24"/>
          <w:rtl w:val="0"/>
        </w:rPr>
        <w:t xml:space="preserve">commoning</w:t>
      </w:r>
      <w:r w:rsidDel="00000000" w:rsidR="00000000" w:rsidRPr="00000000">
        <w:rPr>
          <w:rFonts w:ascii="Times New Roman" w:cs="Times New Roman" w:eastAsia="Times New Roman" w:hAnsi="Times New Roman"/>
          <w:sz w:val="24"/>
          <w:szCs w:val="24"/>
          <w:rtl w:val="0"/>
        </w:rPr>
        <w:t xml:space="preserve"> implica anche definire perché è prevalente rispetto a quello di </w:t>
      </w:r>
      <w:r w:rsidDel="00000000" w:rsidR="00000000" w:rsidRPr="00000000">
        <w:rPr>
          <w:rFonts w:ascii="Times New Roman" w:cs="Times New Roman" w:eastAsia="Times New Roman" w:hAnsi="Times New Roman"/>
          <w:i w:val="1"/>
          <w:sz w:val="24"/>
          <w:szCs w:val="24"/>
          <w:rtl w:val="0"/>
        </w:rPr>
        <w:t xml:space="preserve">commons</w:t>
      </w:r>
      <w:r w:rsidDel="00000000" w:rsidR="00000000" w:rsidRPr="00000000">
        <w:rPr>
          <w:rFonts w:ascii="Times New Roman" w:cs="Times New Roman" w:eastAsia="Times New Roman" w:hAnsi="Times New Roman"/>
          <w:sz w:val="24"/>
          <w:szCs w:val="24"/>
          <w:rtl w:val="0"/>
        </w:rPr>
        <w:t xml:space="preserve"> finora in uso. </w:t>
      </w:r>
    </w:p>
    <w:p w:rsidR="00000000" w:rsidDel="00000000" w:rsidP="00000000" w:rsidRDefault="00000000" w:rsidRPr="00000000" w14:paraId="0000000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L’economista tedesco Euler (2015) decostruisce le varie stratificazioni concettuali che nei secoli hanno definito i </w:t>
      </w:r>
      <w:r w:rsidDel="00000000" w:rsidR="00000000" w:rsidRPr="00000000">
        <w:rPr>
          <w:rFonts w:ascii="Times New Roman" w:cs="Times New Roman" w:eastAsia="Times New Roman" w:hAnsi="Times New Roman"/>
          <w:i w:val="1"/>
          <w:sz w:val="24"/>
          <w:szCs w:val="24"/>
          <w:rtl w:val="0"/>
        </w:rPr>
        <w:t xml:space="preserve">commons</w:t>
      </w:r>
      <w:r w:rsidDel="00000000" w:rsidR="00000000" w:rsidRPr="00000000">
        <w:rPr>
          <w:rFonts w:ascii="Times New Roman" w:cs="Times New Roman" w:eastAsia="Times New Roman" w:hAnsi="Times New Roman"/>
          <w:sz w:val="24"/>
          <w:szCs w:val="24"/>
          <w:rtl w:val="0"/>
        </w:rPr>
        <w:t xml:space="preserve"> per superare l’attributo di </w:t>
      </w:r>
      <w:r w:rsidDel="00000000" w:rsidR="00000000" w:rsidRPr="00000000">
        <w:rPr>
          <w:rFonts w:ascii="Times New Roman" w:cs="Times New Roman" w:eastAsia="Times New Roman" w:hAnsi="Times New Roman"/>
          <w:i w:val="1"/>
          <w:sz w:val="24"/>
          <w:szCs w:val="24"/>
          <w:rtl w:val="0"/>
        </w:rPr>
        <w:t xml:space="preserve">beni</w:t>
      </w:r>
      <w:r w:rsidDel="00000000" w:rsidR="00000000" w:rsidRPr="00000000">
        <w:rPr>
          <w:rFonts w:ascii="Times New Roman" w:cs="Times New Roman" w:eastAsia="Times New Roman" w:hAnsi="Times New Roman"/>
          <w:sz w:val="24"/>
          <w:szCs w:val="24"/>
          <w:rtl w:val="0"/>
        </w:rPr>
        <w:t xml:space="preserve">, così come la loro </w:t>
      </w:r>
      <w:r w:rsidDel="00000000" w:rsidR="00000000" w:rsidRPr="00000000">
        <w:rPr>
          <w:rFonts w:ascii="Times New Roman" w:cs="Times New Roman" w:eastAsia="Times New Roman" w:hAnsi="Times New Roman"/>
          <w:i w:val="1"/>
          <w:sz w:val="24"/>
          <w:szCs w:val="24"/>
          <w:rtl w:val="0"/>
        </w:rPr>
        <w:t xml:space="preserve">naturalezza </w:t>
      </w:r>
      <w:r w:rsidDel="00000000" w:rsidR="00000000" w:rsidRPr="00000000">
        <w:rPr>
          <w:rFonts w:ascii="Times New Roman" w:cs="Times New Roman" w:eastAsia="Times New Roman" w:hAnsi="Times New Roman"/>
          <w:sz w:val="24"/>
          <w:szCs w:val="24"/>
          <w:rtl w:val="0"/>
        </w:rPr>
        <w:t xml:space="preserve">(l’acqua come bene comune, per esempio): “</w:t>
      </w:r>
      <w:r w:rsidDel="00000000" w:rsidR="00000000" w:rsidRPr="00000000">
        <w:rPr>
          <w:rFonts w:ascii="Times New Roman" w:cs="Times New Roman" w:eastAsia="Times New Roman" w:hAnsi="Times New Roman"/>
          <w:i w:val="1"/>
          <w:sz w:val="24"/>
          <w:szCs w:val="24"/>
          <w:rtl w:val="0"/>
        </w:rPr>
        <w:t xml:space="preserve">commons</w:t>
      </w:r>
      <w:r w:rsidDel="00000000" w:rsidR="00000000" w:rsidRPr="00000000">
        <w:rPr>
          <w:rFonts w:ascii="Times New Roman" w:cs="Times New Roman" w:eastAsia="Times New Roman" w:hAnsi="Times New Roman"/>
          <w:sz w:val="24"/>
          <w:szCs w:val="24"/>
          <w:rtl w:val="0"/>
        </w:rPr>
        <w:t xml:space="preserve"> è un concetto molto antico che viene applicato a una varietà di diversi (e in parte molto recenti) fenomeni” (Euler, 2015: 5). </w:t>
      </w:r>
    </w:p>
    <w:p w:rsidR="00000000" w:rsidDel="00000000" w:rsidP="00000000" w:rsidRDefault="00000000" w:rsidRPr="00000000" w14:paraId="0000000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Helfrich sostiene che i commons “non esistono semplicemente, ma </w:t>
      </w:r>
      <w:r w:rsidDel="00000000" w:rsidR="00000000" w:rsidRPr="00000000">
        <w:rPr>
          <w:rFonts w:ascii="Times New Roman" w:cs="Times New Roman" w:eastAsia="Times New Roman" w:hAnsi="Times New Roman"/>
          <w:sz w:val="24"/>
          <w:szCs w:val="24"/>
          <w:u w:val="single"/>
          <w:rtl w:val="0"/>
        </w:rPr>
        <w:t xml:space="preserve">vengono creati</w:t>
      </w:r>
      <w:r w:rsidDel="00000000" w:rsidR="00000000" w:rsidRPr="00000000">
        <w:rPr>
          <w:rFonts w:ascii="Times New Roman" w:cs="Times New Roman" w:eastAsia="Times New Roman" w:hAnsi="Times New Roman"/>
          <w:sz w:val="24"/>
          <w:szCs w:val="24"/>
          <w:rtl w:val="0"/>
        </w:rPr>
        <w:t xml:space="preserve">” come tali. Dipende dalle relazioni e dai tipi di interazioni che ci sono tra le persone e dalle risorse in questione (Helfrich &amp; Heinrich Böll Foundation 2009: 24). Conseguentemente, Muhl (2013: 36) argomenta che le risorse in generale non sono ancora commons ma solo componenti di essi. Esse diventano commons solamente, sostiene, in connessione con persone o comunità e in base a regole autogestite e alle norme d’uso. Egli definisce i commons come una relazione sociale (ibid.). A questo proposito Helfrich aggiunge (2012a: 62): “Noi determiniamo la forma d’uso e pertanto anche la classificazione di acqua potabile come un particolare tipo di bene - ma apparentemente abbiamo perso di vista questo fatto come in un graduale processo di </w:t>
      </w:r>
      <w:r w:rsidDel="00000000" w:rsidR="00000000" w:rsidRPr="00000000">
        <w:rPr>
          <w:rFonts w:ascii="Times New Roman" w:cs="Times New Roman" w:eastAsia="Times New Roman" w:hAnsi="Times New Roman"/>
          <w:sz w:val="24"/>
          <w:szCs w:val="24"/>
          <w:rtl w:val="0"/>
        </w:rPr>
        <w:t xml:space="preserve">ontologizzazione”</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Pertanto, l’autore suggerisce di definire i </w:t>
      </w:r>
      <w:r w:rsidDel="00000000" w:rsidR="00000000" w:rsidRPr="00000000">
        <w:rPr>
          <w:rFonts w:ascii="Times New Roman" w:cs="Times New Roman" w:eastAsia="Times New Roman" w:hAnsi="Times New Roman"/>
          <w:i w:val="1"/>
          <w:sz w:val="24"/>
          <w:szCs w:val="24"/>
          <w:rtl w:val="0"/>
        </w:rPr>
        <w:t xml:space="preserve">commons</w:t>
      </w:r>
      <w:r w:rsidDel="00000000" w:rsidR="00000000" w:rsidRPr="00000000">
        <w:rPr>
          <w:rFonts w:ascii="Times New Roman" w:cs="Times New Roman" w:eastAsia="Times New Roman" w:hAnsi="Times New Roman"/>
          <w:sz w:val="24"/>
          <w:szCs w:val="24"/>
          <w:rtl w:val="0"/>
        </w:rPr>
        <w:t xml:space="preserve"> come “risorse” (“qualcosa che può essere utilizzato”) e non più “beni” (per una riflessione generale, riferita alla teoria soggettiva del valore in Brodbeck, vedi pag. 12) e arriva a ridefinire il fenomeno in base alle categorie d’uso: </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Tabella 1 (fonte: Euler 2015)</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
        <w:tblW w:w="702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75"/>
        <w:gridCol w:w="1785"/>
        <w:gridCol w:w="3660"/>
        <w:tblGridChange w:id="0">
          <w:tblGrid>
            <w:gridCol w:w="1575"/>
            <w:gridCol w:w="1785"/>
            <w:gridCol w:w="3660"/>
          </w:tblGrid>
        </w:tblGridChange>
      </w:tblGrid>
      <w:tr>
        <w:trPr>
          <w:trHeight w:val="750" w:hRule="atLeast"/>
        </w:trPr>
        <w:tc>
          <w:tcPr>
            <w:tcBorders>
              <w:top w:color="000000" w:space="0" w:sz="5" w:val="single"/>
              <w:left w:color="000000" w:space="0" w:sz="5" w:val="single"/>
              <w:bottom w:color="000000" w:space="0" w:sz="5" w:val="single"/>
              <w:right w:color="000000" w:space="0" w:sz="5" w:val="single"/>
            </w:tcBorders>
            <w:tcMar>
              <w:top w:w="100.0" w:type="dxa"/>
              <w:left w:w="100.0" w:type="dxa"/>
              <w:bottom w:w="100.0" w:type="dxa"/>
              <w:right w:w="100.0" w:type="dxa"/>
            </w:tcMar>
            <w:vAlign w:val="bottom"/>
          </w:tcPr>
          <w:p w:rsidR="00000000" w:rsidDel="00000000" w:rsidP="00000000" w:rsidRDefault="00000000" w:rsidRPr="00000000" w14:paraId="0000001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0" w:val="nil"/>
              <w:bottom w:color="000000" w:space="0" w:sz="5" w:val="single"/>
              <w:right w:color="000000" w:space="0" w:sz="5" w:val="single"/>
            </w:tcBorders>
            <w:shd w:fill="cccccc" w:val="clear"/>
            <w:tcMar>
              <w:top w:w="100.0" w:type="dxa"/>
              <w:left w:w="100.0" w:type="dxa"/>
              <w:bottom w:w="100.0" w:type="dxa"/>
              <w:right w:w="100.0" w:type="dxa"/>
            </w:tcMar>
            <w:vAlign w:val="bottom"/>
          </w:tcPr>
          <w:p w:rsidR="00000000" w:rsidDel="00000000" w:rsidP="00000000" w:rsidRDefault="00000000" w:rsidRPr="00000000" w14:paraId="0000001A">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Uso sottraibile</w:t>
            </w:r>
          </w:p>
        </w:tc>
        <w:tc>
          <w:tcPr>
            <w:tcBorders>
              <w:top w:color="000000" w:space="0" w:sz="5" w:val="single"/>
              <w:left w:color="000000" w:space="0" w:sz="0" w:val="nil"/>
              <w:bottom w:color="000000" w:space="0" w:sz="5" w:val="single"/>
              <w:right w:color="cccccc" w:space="0" w:sz="5" w:val="single"/>
            </w:tcBorders>
            <w:shd w:fill="cccccc" w:val="clear"/>
            <w:tcMar>
              <w:top w:w="100.0" w:type="dxa"/>
              <w:left w:w="100.0" w:type="dxa"/>
              <w:bottom w:w="100.0" w:type="dxa"/>
              <w:right w:w="100.0" w:type="dxa"/>
            </w:tcMar>
            <w:vAlign w:val="bottom"/>
          </w:tcPr>
          <w:p w:rsidR="00000000" w:rsidDel="00000000" w:rsidP="00000000" w:rsidRDefault="00000000" w:rsidRPr="00000000" w14:paraId="0000001B">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Uso neutro o additivo</w:t>
            </w:r>
          </w:p>
        </w:tc>
      </w:tr>
      <w:tr>
        <w:trPr>
          <w:trHeight w:val="345" w:hRule="atLeast"/>
        </w:trPr>
        <w:tc>
          <w:tcPr>
            <w:tcBorders>
              <w:top w:color="000000" w:space="0" w:sz="0" w:val="nil"/>
              <w:left w:color="000000" w:space="0" w:sz="5" w:val="single"/>
              <w:bottom w:color="000000" w:space="0" w:sz="5" w:val="single"/>
              <w:right w:color="000000" w:space="0" w:sz="5" w:val="single"/>
            </w:tcBorders>
            <w:tcMar>
              <w:top w:w="100.0" w:type="dxa"/>
              <w:left w:w="100.0" w:type="dxa"/>
              <w:bottom w:w="100.0" w:type="dxa"/>
              <w:right w:w="100.0" w:type="dxa"/>
            </w:tcMar>
            <w:vAlign w:val="bottom"/>
          </w:tcPr>
          <w:p w:rsidR="00000000" w:rsidDel="00000000" w:rsidP="00000000" w:rsidRDefault="00000000" w:rsidRPr="00000000" w14:paraId="0000001C">
            <w:pPr>
              <w:spacing w:after="240" w:before="240" w:lineRule="auto"/>
              <w:jc w:val="both"/>
              <w:rPr>
                <w:rFonts w:ascii="Times New Roman" w:cs="Times New Roman" w:eastAsia="Times New Roman" w:hAnsi="Times New Roman"/>
                <w:sz w:val="11"/>
                <w:szCs w:val="11"/>
              </w:rPr>
            </w:pPr>
            <w:r w:rsidDel="00000000" w:rsidR="00000000" w:rsidRPr="00000000">
              <w:rPr>
                <w:rFonts w:ascii="Times New Roman" w:cs="Times New Roman" w:eastAsia="Times New Roman" w:hAnsi="Times New Roman"/>
                <w:sz w:val="11"/>
                <w:szCs w:val="11"/>
                <w:rtl w:val="0"/>
              </w:rPr>
              <w:t xml:space="preserve"> </w:t>
            </w:r>
          </w:p>
        </w:tc>
        <w:tc>
          <w:tcPr>
            <w:tcBorders>
              <w:top w:color="000000" w:space="0" w:sz="0" w:val="nil"/>
              <w:left w:color="000000" w:space="0" w:sz="0" w:val="nil"/>
              <w:bottom w:color="000000" w:space="0" w:sz="5" w:val="single"/>
              <w:right w:color="000000" w:space="0" w:sz="5" w:val="single"/>
            </w:tcBorders>
            <w:shd w:fill="cccccc" w:val="clear"/>
            <w:tcMar>
              <w:top w:w="100.0" w:type="dxa"/>
              <w:left w:w="100.0" w:type="dxa"/>
              <w:bottom w:w="100.0" w:type="dxa"/>
              <w:right w:w="100.0" w:type="dxa"/>
            </w:tcMar>
            <w:vAlign w:val="bottom"/>
          </w:tcPr>
          <w:p w:rsidR="00000000" w:rsidDel="00000000" w:rsidP="00000000" w:rsidRDefault="00000000" w:rsidRPr="00000000" w14:paraId="0000001D">
            <w:pPr>
              <w:spacing w:after="240" w:before="240" w:lineRule="auto"/>
              <w:jc w:val="both"/>
              <w:rPr>
                <w:rFonts w:ascii="Times New Roman" w:cs="Times New Roman" w:eastAsia="Times New Roman" w:hAnsi="Times New Roman"/>
                <w:sz w:val="11"/>
                <w:szCs w:val="11"/>
              </w:rPr>
            </w:pPr>
            <w:r w:rsidDel="00000000" w:rsidR="00000000" w:rsidRPr="00000000">
              <w:rPr>
                <w:rFonts w:ascii="Times New Roman" w:cs="Times New Roman" w:eastAsia="Times New Roman" w:hAnsi="Times New Roman"/>
                <w:sz w:val="11"/>
                <w:szCs w:val="11"/>
                <w:rtl w:val="0"/>
              </w:rPr>
              <w:t xml:space="preserve"> </w:t>
            </w:r>
          </w:p>
        </w:tc>
        <w:tc>
          <w:tcPr>
            <w:tcBorders>
              <w:top w:color="000000" w:space="0" w:sz="0" w:val="nil"/>
              <w:left w:color="000000" w:space="0" w:sz="0" w:val="nil"/>
              <w:bottom w:color="000000" w:space="0" w:sz="5" w:val="single"/>
              <w:right w:color="cccccc" w:space="0" w:sz="5" w:val="single"/>
            </w:tcBorders>
            <w:shd w:fill="cccccc" w:val="clear"/>
            <w:tcMar>
              <w:top w:w="100.0" w:type="dxa"/>
              <w:left w:w="100.0" w:type="dxa"/>
              <w:bottom w:w="100.0" w:type="dxa"/>
              <w:right w:w="100.0" w:type="dxa"/>
            </w:tcMar>
            <w:vAlign w:val="bottom"/>
          </w:tcPr>
          <w:p w:rsidR="00000000" w:rsidDel="00000000" w:rsidP="00000000" w:rsidRDefault="00000000" w:rsidRPr="00000000" w14:paraId="0000001E">
            <w:pPr>
              <w:spacing w:after="240" w:before="240" w:lineRule="auto"/>
              <w:jc w:val="both"/>
              <w:rPr>
                <w:rFonts w:ascii="Times New Roman" w:cs="Times New Roman" w:eastAsia="Times New Roman" w:hAnsi="Times New Roman"/>
                <w:sz w:val="11"/>
                <w:szCs w:val="11"/>
              </w:rPr>
            </w:pPr>
            <w:r w:rsidDel="00000000" w:rsidR="00000000" w:rsidRPr="00000000">
              <w:rPr>
                <w:rFonts w:ascii="Times New Roman" w:cs="Times New Roman" w:eastAsia="Times New Roman" w:hAnsi="Times New Roman"/>
                <w:sz w:val="11"/>
                <w:szCs w:val="11"/>
                <w:rtl w:val="0"/>
              </w:rPr>
              <w:t xml:space="preserve"> </w:t>
            </w:r>
          </w:p>
        </w:tc>
      </w:tr>
      <w:tr>
        <w:trPr>
          <w:trHeight w:val="750" w:hRule="atLeast"/>
        </w:trPr>
        <w:tc>
          <w:tcPr>
            <w:tcBorders>
              <w:top w:color="000000" w:space="0" w:sz="0" w:val="nil"/>
              <w:left w:color="000000" w:space="0" w:sz="5" w:val="single"/>
              <w:bottom w:color="000000" w:space="0" w:sz="5" w:val="single"/>
              <w:right w:color="000000" w:space="0" w:sz="5" w:val="single"/>
            </w:tcBorders>
            <w:shd w:fill="cccccc" w:val="clear"/>
            <w:tcMar>
              <w:top w:w="100.0" w:type="dxa"/>
              <w:left w:w="100.0" w:type="dxa"/>
              <w:bottom w:w="100.0" w:type="dxa"/>
              <w:right w:w="100.0" w:type="dxa"/>
            </w:tcMar>
            <w:vAlign w:val="bottom"/>
          </w:tcPr>
          <w:p w:rsidR="00000000" w:rsidDel="00000000" w:rsidP="00000000" w:rsidRDefault="00000000" w:rsidRPr="00000000" w14:paraId="0000001F">
            <w:pPr>
              <w:spacing w:after="240" w:before="240" w:lineRule="auto"/>
              <w:ind w:lef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Uso esclusivo</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bottom"/>
          </w:tcPr>
          <w:p w:rsidR="00000000" w:rsidDel="00000000" w:rsidP="00000000" w:rsidRDefault="00000000" w:rsidRPr="00000000" w14:paraId="00000020">
            <w:pPr>
              <w:spacing w:after="240" w:befor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Risorsa privata</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bottom"/>
          </w:tcPr>
          <w:p w:rsidR="00000000" w:rsidDel="00000000" w:rsidP="00000000" w:rsidRDefault="00000000" w:rsidRPr="00000000" w14:paraId="00000021">
            <w:pPr>
              <w:spacing w:after="240" w:before="240" w:lineRule="auto"/>
              <w:ind w:left="4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Risorsa del </w:t>
            </w:r>
            <w:r w:rsidDel="00000000" w:rsidR="00000000" w:rsidRPr="00000000">
              <w:rPr>
                <w:rFonts w:ascii="Times New Roman" w:cs="Times New Roman" w:eastAsia="Times New Roman" w:hAnsi="Times New Roman"/>
                <w:i w:val="1"/>
                <w:sz w:val="24"/>
                <w:szCs w:val="24"/>
                <w:rtl w:val="0"/>
              </w:rPr>
              <w:t xml:space="preserve">club</w:t>
            </w:r>
          </w:p>
        </w:tc>
      </w:tr>
      <w:tr>
        <w:trPr>
          <w:trHeight w:val="390" w:hRule="atLeast"/>
        </w:trPr>
        <w:tc>
          <w:tcPr>
            <w:tcBorders>
              <w:top w:color="000000" w:space="0" w:sz="0" w:val="nil"/>
              <w:left w:color="000000" w:space="0" w:sz="5" w:val="single"/>
              <w:bottom w:color="000000" w:space="0" w:sz="5" w:val="single"/>
              <w:right w:color="000000" w:space="0" w:sz="5" w:val="single"/>
            </w:tcBorders>
            <w:shd w:fill="cccccc" w:val="clear"/>
            <w:tcMar>
              <w:top w:w="100.0" w:type="dxa"/>
              <w:left w:w="100.0" w:type="dxa"/>
              <w:bottom w:w="100.0" w:type="dxa"/>
              <w:right w:w="100.0" w:type="dxa"/>
            </w:tcMar>
            <w:vAlign w:val="bottom"/>
          </w:tcPr>
          <w:p w:rsidR="00000000" w:rsidDel="00000000" w:rsidP="00000000" w:rsidRDefault="00000000" w:rsidRPr="00000000" w14:paraId="00000022">
            <w:pPr>
              <w:spacing w:after="240" w:before="240" w:lineRule="auto"/>
              <w:jc w:val="both"/>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bottom"/>
          </w:tcPr>
          <w:p w:rsidR="00000000" w:rsidDel="00000000" w:rsidP="00000000" w:rsidRDefault="00000000" w:rsidRPr="00000000" w14:paraId="00000023">
            <w:pPr>
              <w:spacing w:after="240" w:before="240" w:lineRule="auto"/>
              <w:jc w:val="both"/>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bottom"/>
          </w:tcPr>
          <w:p w:rsidR="00000000" w:rsidDel="00000000" w:rsidP="00000000" w:rsidRDefault="00000000" w:rsidRPr="00000000" w14:paraId="00000024">
            <w:pPr>
              <w:spacing w:after="240" w:before="240" w:lineRule="auto"/>
              <w:jc w:val="both"/>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w:t>
            </w:r>
          </w:p>
        </w:tc>
      </w:tr>
      <w:tr>
        <w:trPr>
          <w:trHeight w:val="750" w:hRule="atLeast"/>
        </w:trPr>
        <w:tc>
          <w:tcPr>
            <w:tcBorders>
              <w:top w:color="000000" w:space="0" w:sz="0" w:val="nil"/>
              <w:left w:color="000000" w:space="0" w:sz="5" w:val="single"/>
              <w:bottom w:color="000000" w:space="0" w:sz="5" w:val="single"/>
              <w:right w:color="000000" w:space="0" w:sz="5" w:val="single"/>
            </w:tcBorders>
            <w:shd w:fill="cccccc" w:val="clear"/>
            <w:tcMar>
              <w:top w:w="100.0" w:type="dxa"/>
              <w:left w:w="100.0" w:type="dxa"/>
              <w:bottom w:w="100.0" w:type="dxa"/>
              <w:right w:w="100.0" w:type="dxa"/>
            </w:tcMar>
            <w:vAlign w:val="bottom"/>
          </w:tcPr>
          <w:p w:rsidR="00000000" w:rsidDel="00000000" w:rsidP="00000000" w:rsidRDefault="00000000" w:rsidRPr="00000000" w14:paraId="00000025">
            <w:pPr>
              <w:spacing w:after="240" w:before="240" w:lineRule="auto"/>
              <w:ind w:lef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Uso inclusivo</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bottom"/>
          </w:tcPr>
          <w:p w:rsidR="00000000" w:rsidDel="00000000" w:rsidP="00000000" w:rsidRDefault="00000000" w:rsidRPr="00000000" w14:paraId="00000026">
            <w:pPr>
              <w:spacing w:after="240" w:befor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Risorsa comune</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bottom"/>
          </w:tcPr>
          <w:p w:rsidR="00000000" w:rsidDel="00000000" w:rsidP="00000000" w:rsidRDefault="00000000" w:rsidRPr="00000000" w14:paraId="00000027">
            <w:pPr>
              <w:spacing w:after="240" w:before="24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Risorsa ad accesso aperto</w:t>
            </w:r>
          </w:p>
        </w:tc>
      </w:tr>
      <w:tr>
        <w:tc>
          <w:tcPr>
            <w:tcBorders>
              <w:top w:color="000000" w:space="0" w:sz="0" w:val="nil"/>
              <w:left w:color="000000" w:space="0" w:sz="5" w:val="single"/>
              <w:bottom w:color="000000" w:space="0" w:sz="5" w:val="single"/>
              <w:right w:color="000000" w:space="0" w:sz="5" w:val="single"/>
            </w:tcBorders>
            <w:shd w:fill="cccccc" w:val="clear"/>
            <w:tcMar>
              <w:top w:w="100.0" w:type="dxa"/>
              <w:left w:w="100.0" w:type="dxa"/>
              <w:bottom w:w="100.0" w:type="dxa"/>
              <w:right w:w="100.0" w:type="dxa"/>
            </w:tcMar>
            <w:vAlign w:val="bottom"/>
          </w:tcPr>
          <w:p w:rsidR="00000000" w:rsidDel="00000000" w:rsidP="00000000" w:rsidRDefault="00000000" w:rsidRPr="00000000" w14:paraId="00000028">
            <w:pPr>
              <w:spacing w:after="240" w:before="240" w:lineRule="auto"/>
              <w:jc w:val="both"/>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bottom"/>
          </w:tcPr>
          <w:p w:rsidR="00000000" w:rsidDel="00000000" w:rsidP="00000000" w:rsidRDefault="00000000" w:rsidRPr="00000000" w14:paraId="00000029">
            <w:pPr>
              <w:spacing w:after="240" w:before="240" w:lineRule="auto"/>
              <w:jc w:val="both"/>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w:t>
            </w:r>
          </w:p>
        </w:tc>
        <w:tc>
          <w:tcPr>
            <w:tcBorders>
              <w:top w:color="000000" w:space="0" w:sz="0" w:val="nil"/>
              <w:left w:color="000000" w:space="0" w:sz="0" w:val="nil"/>
              <w:bottom w:color="000000" w:space="0" w:sz="5" w:val="single"/>
              <w:right w:color="000000" w:space="0" w:sz="5" w:val="single"/>
            </w:tcBorders>
            <w:tcMar>
              <w:top w:w="100.0" w:type="dxa"/>
              <w:left w:w="100.0" w:type="dxa"/>
              <w:bottom w:w="100.0" w:type="dxa"/>
              <w:right w:w="100.0" w:type="dxa"/>
            </w:tcMar>
            <w:vAlign w:val="bottom"/>
          </w:tcPr>
          <w:p w:rsidR="00000000" w:rsidDel="00000000" w:rsidP="00000000" w:rsidRDefault="00000000" w:rsidRPr="00000000" w14:paraId="0000002A">
            <w:pPr>
              <w:spacing w:after="240" w:before="240" w:lineRule="auto"/>
              <w:jc w:val="both"/>
              <w:rPr>
                <w:rFonts w:ascii="Times New Roman" w:cs="Times New Roman" w:eastAsia="Times New Roman" w:hAnsi="Times New Roman"/>
                <w:sz w:val="17"/>
                <w:szCs w:val="17"/>
              </w:rPr>
            </w:pPr>
            <w:r w:rsidDel="00000000" w:rsidR="00000000" w:rsidRPr="00000000">
              <w:rPr>
                <w:rFonts w:ascii="Times New Roman" w:cs="Times New Roman" w:eastAsia="Times New Roman" w:hAnsi="Times New Roman"/>
                <w:sz w:val="17"/>
                <w:szCs w:val="17"/>
                <w:rtl w:val="0"/>
              </w:rPr>
              <w:t xml:space="preserve"> </w:t>
            </w:r>
          </w:p>
        </w:tc>
      </w:tr>
    </w:tbl>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Ciò significa che </w:t>
      </w:r>
      <w:r w:rsidDel="00000000" w:rsidR="00000000" w:rsidRPr="00000000">
        <w:rPr>
          <w:rFonts w:ascii="Times New Roman" w:cs="Times New Roman" w:eastAsia="Times New Roman" w:hAnsi="Times New Roman"/>
          <w:sz w:val="24"/>
          <w:szCs w:val="24"/>
          <w:rtl w:val="0"/>
        </w:rPr>
        <w:t xml:space="preserve">i semi possono essere utilizzati sia per piantare qualcosa di nuovo (uso additivo) oppure possono essere mangiati (uso escludibile), proprio come un martello può essere usato per costruire una casa oppure per distruggerla. La persona che vuole mangiare i semi può essere disposta a condividerli (uso escludibile e inclusivo dei semi: risorsa comune) oppure no (uso escludibile ed esclusivo: risorsa privata). </w:t>
      </w:r>
    </w:p>
    <w:p w:rsidR="00000000" w:rsidDel="00000000" w:rsidP="00000000" w:rsidRDefault="00000000" w:rsidRPr="00000000" w14:paraId="0000002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persona che costruisce una casa può apprezzare l’aiuto (uso additivo e inclusivo del martello: risorsa ad accesso aperto) oppure no (uso additivo ed esclusivo del martello: risorsa del </w:t>
      </w:r>
      <w:r w:rsidDel="00000000" w:rsidR="00000000" w:rsidRPr="00000000">
        <w:rPr>
          <w:rFonts w:ascii="Times New Roman" w:cs="Times New Roman" w:eastAsia="Times New Roman" w:hAnsi="Times New Roman"/>
          <w:i w:val="1"/>
          <w:sz w:val="24"/>
          <w:szCs w:val="24"/>
          <w:rtl w:val="0"/>
        </w:rPr>
        <w:t xml:space="preserve">club</w:t>
      </w:r>
      <w:r w:rsidDel="00000000" w:rsidR="00000000" w:rsidRPr="00000000">
        <w:rPr>
          <w:rFonts w:ascii="Times New Roman" w:cs="Times New Roman" w:eastAsia="Times New Roman" w:hAnsi="Times New Roman"/>
          <w:sz w:val="24"/>
          <w:szCs w:val="24"/>
          <w:rtl w:val="0"/>
        </w:rPr>
        <w:t xml:space="preserve">). La casa può essere usata come proprietà privata per alcune persone oppure può essere utilizzata per offrire alloggio a coloro che lo necessitano. </w:t>
      </w:r>
    </w:p>
    <w:p w:rsidR="00000000" w:rsidDel="00000000" w:rsidP="00000000" w:rsidRDefault="00000000" w:rsidRPr="00000000" w14:paraId="0000003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L’uso concreto delle risorse è un aspetto decisivo. Proprio come nella classificazione convenzionale dei beni, la dimensione indicata qui non deve essere intesa come binaria ma piuttosto come un </w:t>
      </w:r>
      <w:r w:rsidDel="00000000" w:rsidR="00000000" w:rsidRPr="00000000">
        <w:rPr>
          <w:rFonts w:ascii="Times New Roman" w:cs="Times New Roman" w:eastAsia="Times New Roman" w:hAnsi="Times New Roman"/>
          <w:i w:val="1"/>
          <w:sz w:val="24"/>
          <w:szCs w:val="24"/>
          <w:rtl w:val="0"/>
        </w:rPr>
        <w:t xml:space="preserve">trend</w:t>
      </w:r>
      <w:r w:rsidDel="00000000" w:rsidR="00000000" w:rsidRPr="00000000">
        <w:rPr>
          <w:rFonts w:ascii="Times New Roman" w:cs="Times New Roman" w:eastAsia="Times New Roman" w:hAnsi="Times New Roman"/>
          <w:sz w:val="24"/>
          <w:szCs w:val="24"/>
          <w:rtl w:val="0"/>
        </w:rPr>
        <w:t xml:space="preserve"> o secondo una gradazione. </w:t>
      </w:r>
    </w:p>
    <w:p w:rsidR="00000000" w:rsidDel="00000000" w:rsidP="00000000" w:rsidRDefault="00000000" w:rsidRPr="00000000" w14:paraId="0000003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due persone vogliono usare una risorsa in forma </w:t>
      </w:r>
      <w:r w:rsidDel="00000000" w:rsidR="00000000" w:rsidRPr="00000000">
        <w:rPr>
          <w:rFonts w:ascii="Times New Roman" w:cs="Times New Roman" w:eastAsia="Times New Roman" w:hAnsi="Times New Roman"/>
          <w:i w:val="1"/>
          <w:sz w:val="24"/>
          <w:szCs w:val="24"/>
          <w:rtl w:val="0"/>
        </w:rPr>
        <w:t xml:space="preserve">escludibile, </w:t>
      </w:r>
      <w:r w:rsidDel="00000000" w:rsidR="00000000" w:rsidRPr="00000000">
        <w:rPr>
          <w:rFonts w:ascii="Times New Roman" w:cs="Times New Roman" w:eastAsia="Times New Roman" w:hAnsi="Times New Roman"/>
          <w:sz w:val="24"/>
          <w:szCs w:val="24"/>
          <w:rtl w:val="0"/>
        </w:rPr>
        <w:t xml:space="preserve">emergerà un conflitto nel caso in cui non vorranno condividerla. </w:t>
      </w:r>
      <w:r w:rsidDel="00000000" w:rsidR="00000000" w:rsidRPr="00000000">
        <w:rPr>
          <w:rFonts w:ascii="Times New Roman" w:cs="Times New Roman" w:eastAsia="Times New Roman" w:hAnsi="Times New Roman"/>
          <w:sz w:val="24"/>
          <w:szCs w:val="24"/>
          <w:u w:val="single"/>
          <w:rtl w:val="0"/>
        </w:rPr>
        <w:t xml:space="preserve">Questa non è una proprietà della risorsa</w:t>
      </w:r>
      <w:r w:rsidDel="00000000" w:rsidR="00000000" w:rsidRPr="00000000">
        <w:rPr>
          <w:rFonts w:ascii="Times New Roman" w:cs="Times New Roman" w:eastAsia="Times New Roman" w:hAnsi="Times New Roman"/>
          <w:sz w:val="24"/>
          <w:szCs w:val="24"/>
          <w:rtl w:val="0"/>
        </w:rPr>
        <w:t xml:space="preserve">, ma della relazione tra due persone. In altre parole, la risorsa dev’essere intesa con riguardo alla situazione contestuale nella quale viene inserita e ai modi in cui le persone interagiscono. Questa classificazione rende possibile evitare di intendere i beni come delle </w:t>
      </w:r>
      <w:r w:rsidDel="00000000" w:rsidR="00000000" w:rsidRPr="00000000">
        <w:rPr>
          <w:rFonts w:ascii="Times New Roman" w:cs="Times New Roman" w:eastAsia="Times New Roman" w:hAnsi="Times New Roman"/>
          <w:sz w:val="24"/>
          <w:szCs w:val="24"/>
          <w:rtl w:val="0"/>
        </w:rPr>
        <w:t xml:space="preserve">false naturalizzazioni</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Il processo di </w:t>
      </w:r>
      <w:r w:rsidDel="00000000" w:rsidR="00000000" w:rsidRPr="00000000">
        <w:rPr>
          <w:rFonts w:ascii="Times New Roman" w:cs="Times New Roman" w:eastAsia="Times New Roman" w:hAnsi="Times New Roman"/>
          <w:i w:val="1"/>
          <w:sz w:val="24"/>
          <w:szCs w:val="24"/>
          <w:rtl w:val="0"/>
        </w:rPr>
        <w:t xml:space="preserve">commoning.</w:t>
      </w:r>
      <w:r w:rsidDel="00000000" w:rsidR="00000000" w:rsidRPr="00000000">
        <w:rPr>
          <w:rtl w:val="0"/>
        </w:rPr>
      </w:r>
    </w:p>
    <w:p w:rsidR="00000000" w:rsidDel="00000000" w:rsidP="00000000" w:rsidRDefault="00000000" w:rsidRPr="00000000" w14:paraId="00000034">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Helfrich et al. (2010: 11) dà per scontato che le risorse comuni del gruppo, o altre risorse, siano una condizione necessaria per i beni comuni. Questo elemento fondamentale comporta come conseguenza che conflitti e negoziazioni sono parte del processo: non esistono beni comuni senza discussione.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secondo elemento costitutivo sono le persone in  una data comunità. Le comunità coinvolte </w:t>
      </w:r>
      <w:r w:rsidDel="00000000" w:rsidR="00000000" w:rsidRPr="00000000">
        <w:rPr>
          <w:rFonts w:ascii="Times New Roman" w:cs="Times New Roman" w:eastAsia="Times New Roman" w:hAnsi="Times New Roman"/>
          <w:sz w:val="24"/>
          <w:szCs w:val="24"/>
          <w:u w:val="single"/>
          <w:rtl w:val="0"/>
        </w:rPr>
        <w:t xml:space="preserve">creano</w:t>
      </w:r>
      <w:r w:rsidDel="00000000" w:rsidR="00000000" w:rsidRPr="00000000">
        <w:rPr>
          <w:rFonts w:ascii="Times New Roman" w:cs="Times New Roman" w:eastAsia="Times New Roman" w:hAnsi="Times New Roman"/>
          <w:sz w:val="24"/>
          <w:szCs w:val="24"/>
          <w:rtl w:val="0"/>
        </w:rPr>
        <w:t xml:space="preserve"> il processo di utilizzo, lo </w:t>
      </w:r>
      <w:r w:rsidDel="00000000" w:rsidR="00000000" w:rsidRPr="00000000">
        <w:rPr>
          <w:rFonts w:ascii="Times New Roman" w:cs="Times New Roman" w:eastAsia="Times New Roman" w:hAnsi="Times New Roman"/>
          <w:sz w:val="24"/>
          <w:szCs w:val="24"/>
          <w:u w:val="single"/>
          <w:rtl w:val="0"/>
        </w:rPr>
        <w:t xml:space="preserve">mantengono</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sz w:val="24"/>
          <w:szCs w:val="24"/>
          <w:u w:val="single"/>
          <w:rtl w:val="0"/>
        </w:rPr>
        <w:t xml:space="preserve">si prendono cura</w:t>
      </w:r>
      <w:r w:rsidDel="00000000" w:rsidR="00000000" w:rsidRPr="00000000">
        <w:rPr>
          <w:rFonts w:ascii="Times New Roman" w:cs="Times New Roman" w:eastAsia="Times New Roman" w:hAnsi="Times New Roman"/>
          <w:sz w:val="24"/>
          <w:szCs w:val="24"/>
          <w:rtl w:val="0"/>
        </w:rPr>
        <w:t xml:space="preserve"> della risorsa. Le risorse sono convertite in </w:t>
      </w:r>
      <w:r w:rsidDel="00000000" w:rsidR="00000000" w:rsidRPr="00000000">
        <w:rPr>
          <w:rFonts w:ascii="Times New Roman" w:cs="Times New Roman" w:eastAsia="Times New Roman" w:hAnsi="Times New Roman"/>
          <w:i w:val="1"/>
          <w:sz w:val="24"/>
          <w:szCs w:val="24"/>
          <w:rtl w:val="0"/>
        </w:rPr>
        <w:t xml:space="preserve">commons </w:t>
      </w:r>
      <w:r w:rsidDel="00000000" w:rsidR="00000000" w:rsidRPr="00000000">
        <w:rPr>
          <w:rFonts w:ascii="Times New Roman" w:cs="Times New Roman" w:eastAsia="Times New Roman" w:hAnsi="Times New Roman"/>
          <w:sz w:val="24"/>
          <w:szCs w:val="24"/>
          <w:rtl w:val="0"/>
        </w:rPr>
        <w:t xml:space="preserve">dalle persone che le usano collettivamente (ibid). </w:t>
      </w:r>
    </w:p>
    <w:p w:rsidR="00000000" w:rsidDel="00000000" w:rsidP="00000000" w:rsidRDefault="00000000" w:rsidRPr="00000000" w14:paraId="0000003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terza posizione, il blocco normativo include tutte le regole, incluse quelle che governano la gestione dei </w:t>
      </w:r>
      <w:r w:rsidDel="00000000" w:rsidR="00000000" w:rsidRPr="00000000">
        <w:rPr>
          <w:rFonts w:ascii="Times New Roman" w:cs="Times New Roman" w:eastAsia="Times New Roman" w:hAnsi="Times New Roman"/>
          <w:i w:val="1"/>
          <w:sz w:val="24"/>
          <w:szCs w:val="24"/>
          <w:rtl w:val="0"/>
        </w:rPr>
        <w:t xml:space="preserve">commons. </w:t>
      </w:r>
      <w:r w:rsidDel="00000000" w:rsidR="00000000" w:rsidRPr="00000000">
        <w:rPr>
          <w:rFonts w:ascii="Times New Roman" w:cs="Times New Roman" w:eastAsia="Times New Roman" w:hAnsi="Times New Roman"/>
          <w:sz w:val="24"/>
          <w:szCs w:val="24"/>
          <w:rtl w:val="0"/>
        </w:rPr>
        <w:t xml:space="preserve">Queste regole e norme strutturano la relazione tra persone e risorse: pertanto, per avere un </w:t>
      </w:r>
      <w:r w:rsidDel="00000000" w:rsidR="00000000" w:rsidRPr="00000000">
        <w:rPr>
          <w:rFonts w:ascii="Times New Roman" w:cs="Times New Roman" w:eastAsia="Times New Roman" w:hAnsi="Times New Roman"/>
          <w:i w:val="1"/>
          <w:sz w:val="24"/>
          <w:szCs w:val="24"/>
          <w:rtl w:val="0"/>
        </w:rPr>
        <w:t xml:space="preserve">commons</w:t>
      </w:r>
      <w:r w:rsidDel="00000000" w:rsidR="00000000" w:rsidRPr="00000000">
        <w:rPr>
          <w:rFonts w:ascii="Times New Roman" w:cs="Times New Roman" w:eastAsia="Times New Roman" w:hAnsi="Times New Roman"/>
          <w:sz w:val="24"/>
          <w:szCs w:val="24"/>
          <w:rtl w:val="0"/>
        </w:rPr>
        <w:t xml:space="preserve"> dobbiamo avere le risorse e un’infrastruttura sociale che dia loro forma, da un livello individuale o micro fino a un livello macro (Euler 2015: 19).</w:t>
      </w:r>
    </w:p>
    <w:p w:rsidR="00000000" w:rsidDel="00000000" w:rsidP="00000000" w:rsidRDefault="00000000" w:rsidRPr="00000000" w14:paraId="0000003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costruzione sociale dei commons prende forma da una pratica che è il </w:t>
      </w:r>
      <w:r w:rsidDel="00000000" w:rsidR="00000000" w:rsidRPr="00000000">
        <w:rPr>
          <w:rFonts w:ascii="Times New Roman" w:cs="Times New Roman" w:eastAsia="Times New Roman" w:hAnsi="Times New Roman"/>
          <w:i w:val="1"/>
          <w:sz w:val="24"/>
          <w:szCs w:val="24"/>
          <w:rtl w:val="0"/>
        </w:rPr>
        <w:t xml:space="preserve">commoning </w:t>
      </w:r>
      <w:r w:rsidDel="00000000" w:rsidR="00000000" w:rsidRPr="00000000">
        <w:rPr>
          <w:rFonts w:ascii="Times New Roman" w:cs="Times New Roman" w:eastAsia="Times New Roman" w:hAnsi="Times New Roman"/>
          <w:sz w:val="24"/>
          <w:szCs w:val="24"/>
          <w:rtl w:val="0"/>
        </w:rPr>
        <w:t xml:space="preserve">(Helfrich 2012b). Euler riassume la nuova definizione nei seguenti termini: </w:t>
      </w:r>
    </w:p>
    <w:p w:rsidR="00000000" w:rsidDel="00000000" w:rsidP="00000000" w:rsidRDefault="00000000" w:rsidRPr="00000000" w14:paraId="00000039">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w:t>
      </w:r>
      <w:r w:rsidDel="00000000" w:rsidR="00000000" w:rsidRPr="00000000">
        <w:rPr>
          <w:rFonts w:ascii="Times New Roman" w:cs="Times New Roman" w:eastAsia="Times New Roman" w:hAnsi="Times New Roman"/>
          <w:i w:val="1"/>
          <w:rtl w:val="0"/>
        </w:rPr>
        <w:t xml:space="preserve">common</w:t>
      </w:r>
      <w:r w:rsidDel="00000000" w:rsidR="00000000" w:rsidRPr="00000000">
        <w:rPr>
          <w:rFonts w:ascii="Times New Roman" w:cs="Times New Roman" w:eastAsia="Times New Roman" w:hAnsi="Times New Roman"/>
          <w:rtl w:val="0"/>
        </w:rPr>
        <w:t xml:space="preserve"> è una forma sociale di una risorsa tangibile o intangibile che è determinata dal </w:t>
      </w:r>
      <w:r w:rsidDel="00000000" w:rsidR="00000000" w:rsidRPr="00000000">
        <w:rPr>
          <w:rFonts w:ascii="Times New Roman" w:cs="Times New Roman" w:eastAsia="Times New Roman" w:hAnsi="Times New Roman"/>
          <w:i w:val="1"/>
          <w:rtl w:val="0"/>
        </w:rPr>
        <w:t xml:space="preserve">commoning</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ogni caso, il concetto ha origine nel lavoro di ricerca di Elinor Ostrom, seguito e riformulato dal giurista Edgar Cahn, fondatore di TimeBanks (</w:t>
      </w:r>
      <w:hyperlink r:id="rId8">
        <w:r w:rsidDel="00000000" w:rsidR="00000000" w:rsidRPr="00000000">
          <w:rPr>
            <w:rFonts w:ascii="Times New Roman" w:cs="Times New Roman" w:eastAsia="Times New Roman" w:hAnsi="Times New Roman"/>
            <w:color w:val="0000ff"/>
            <w:sz w:val="24"/>
            <w:szCs w:val="24"/>
            <w:u w:val="single"/>
            <w:rtl w:val="0"/>
          </w:rPr>
          <w:t xml:space="preserve">https://timebanks.org/</w:t>
        </w:r>
      </w:hyperlink>
      <w:r w:rsidDel="00000000" w:rsidR="00000000" w:rsidRPr="00000000">
        <w:rPr>
          <w:rFonts w:ascii="Times New Roman" w:cs="Times New Roman" w:eastAsia="Times New Roman" w:hAnsi="Times New Roman"/>
          <w:sz w:val="24"/>
          <w:szCs w:val="24"/>
          <w:rtl w:val="0"/>
        </w:rPr>
        <w:t xml:space="preserve">); in campo sociologico vi è stata una simile e contemporanea elaborazione da parte di Anselm Strauss. </w:t>
      </w:r>
    </w:p>
    <w:p w:rsidR="00000000" w:rsidDel="00000000" w:rsidP="00000000" w:rsidRDefault="00000000" w:rsidRPr="00000000" w14:paraId="0000003D">
      <w:pPr>
        <w:ind w:firstLine="720"/>
        <w:jc w:val="both"/>
        <w:rPr>
          <w:rFonts w:ascii="Times New Roman" w:cs="Times New Roman" w:eastAsia="Times New Roman" w:hAnsi="Times New Roman"/>
          <w:color w:val="00ff00"/>
          <w:sz w:val="24"/>
          <w:szCs w:val="24"/>
        </w:rPr>
      </w:pPr>
      <w:r w:rsidDel="00000000" w:rsidR="00000000" w:rsidRPr="00000000">
        <w:rPr>
          <w:rFonts w:ascii="Times New Roman" w:cs="Times New Roman" w:eastAsia="Times New Roman" w:hAnsi="Times New Roman"/>
          <w:sz w:val="24"/>
          <w:szCs w:val="24"/>
          <w:rtl w:val="0"/>
        </w:rPr>
        <w:t xml:space="preserve">In questo filone di studi, la co-produzione è quindi intesa come un processo che coinvolge pazienti o beneficiari di un servizio (sociale, educativo ecc.) in un contesto istituzionale (in questo caso lo stato) in cui le risorse non appartengono a nessuno dei due contraenti (Realpe and Wallace 2010; Batalden et al. 2015). Tuttavia, tale co-produzione è possibile anche in un contesto caratterizzato da organizzazioni private o del terzo settore (Brandsen and Pestoff 2006). </w:t>
      </w:r>
      <w:r w:rsidDel="00000000" w:rsidR="00000000" w:rsidRPr="00000000">
        <w:rPr>
          <w:rtl w:val="0"/>
        </w:rPr>
      </w:r>
    </w:p>
    <w:p w:rsidR="00000000" w:rsidDel="00000000" w:rsidP="00000000" w:rsidRDefault="00000000" w:rsidRPr="00000000" w14:paraId="0000003E">
      <w:pPr>
        <w:ind w:firstLine="720"/>
        <w:jc w:val="both"/>
        <w:rPr>
          <w:rFonts w:ascii="Times New Roman" w:cs="Times New Roman" w:eastAsia="Times New Roman" w:hAnsi="Times New Roman"/>
          <w:color w:val="00ff00"/>
          <w:sz w:val="24"/>
          <w:szCs w:val="24"/>
        </w:rPr>
      </w:pPr>
      <w:r w:rsidDel="00000000" w:rsidR="00000000" w:rsidRPr="00000000">
        <w:rPr>
          <w:rtl w:val="0"/>
        </w:rPr>
      </w:r>
    </w:p>
    <w:p w:rsidR="00000000" w:rsidDel="00000000" w:rsidP="00000000" w:rsidRDefault="00000000" w:rsidRPr="00000000" w14:paraId="0000003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produzione sociale tra pari.</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punto discutibile che Euler richiama da Meretz (2014a) è di considerare le attività di cura svolte nel contesto familiare come parte del </w:t>
      </w:r>
      <w:r w:rsidDel="00000000" w:rsidR="00000000" w:rsidRPr="00000000">
        <w:rPr>
          <w:rFonts w:ascii="Times New Roman" w:cs="Times New Roman" w:eastAsia="Times New Roman" w:hAnsi="Times New Roman"/>
          <w:i w:val="1"/>
          <w:sz w:val="24"/>
          <w:szCs w:val="24"/>
          <w:rtl w:val="0"/>
        </w:rPr>
        <w:t xml:space="preserve">commoning</w:t>
      </w:r>
      <w:r w:rsidDel="00000000" w:rsidR="00000000" w:rsidRPr="00000000">
        <w:rPr>
          <w:rFonts w:ascii="Times New Roman" w:cs="Times New Roman" w:eastAsia="Times New Roman" w:hAnsi="Times New Roman"/>
          <w:sz w:val="24"/>
          <w:szCs w:val="24"/>
          <w:rtl w:val="0"/>
        </w:rPr>
        <w:t xml:space="preserve">. Poiché esse non appartengono al mercato, Meretz le assimila a pratiche alternative ad esso (Meretz 2014a).</w:t>
      </w:r>
      <w:r w:rsidDel="00000000" w:rsidR="00000000" w:rsidRPr="00000000">
        <w:rPr>
          <w:rFonts w:ascii="Times New Roman" w:cs="Times New Roman" w:eastAsia="Times New Roman" w:hAnsi="Times New Roman"/>
          <w:color w:val="00ff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mio parere, si tratta di una forzatura, in quanto la logica dell'economia familiare e dei rapporti intimi, basati su legami affettivi, non coincide né con un'economia tra pari nè con il commoning.</w:t>
      </w:r>
    </w:p>
    <w:p w:rsidR="00000000" w:rsidDel="00000000" w:rsidP="00000000" w:rsidRDefault="00000000" w:rsidRPr="00000000" w14:paraId="0000004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Inoltre, una caratteristica del </w:t>
      </w:r>
      <w:r w:rsidDel="00000000" w:rsidR="00000000" w:rsidRPr="00000000">
        <w:rPr>
          <w:rFonts w:ascii="Times New Roman" w:cs="Times New Roman" w:eastAsia="Times New Roman" w:hAnsi="Times New Roman"/>
          <w:i w:val="1"/>
          <w:sz w:val="24"/>
          <w:szCs w:val="24"/>
          <w:rtl w:val="0"/>
        </w:rPr>
        <w:t xml:space="preserve">commoning</w:t>
      </w:r>
      <w:r w:rsidDel="00000000" w:rsidR="00000000" w:rsidRPr="00000000">
        <w:rPr>
          <w:rFonts w:ascii="Times New Roman" w:cs="Times New Roman" w:eastAsia="Times New Roman" w:hAnsi="Times New Roman"/>
          <w:sz w:val="24"/>
          <w:szCs w:val="24"/>
          <w:rtl w:val="0"/>
        </w:rPr>
        <w:t xml:space="preserve"> è l’auto-gestione e l’auto-organizzazione, ovvero un sistema non soggetto ad autorità esterne. In tal senso vanno chiariti due punti. In primis, anche concordando sulla possibilità di comunità autogestite, è necessario stabilire come queste possano sopravvivere e prosperare in un sistema in cui coesistono altre forme economiche. Pertanto, si profila un problema di interdipendenza, piuttosto che di indipendenza assoluta e autonomia. </w:t>
      </w:r>
    </w:p>
    <w:p w:rsidR="00000000" w:rsidDel="00000000" w:rsidP="00000000" w:rsidRDefault="00000000" w:rsidRPr="00000000" w14:paraId="00000045">
      <w:pPr>
        <w:ind w:firstLine="720"/>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Infine,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va chiarito il ruolo dell’autorità interna, in altri termini il rifiuto del principio di gerarchia vale solo verso l’esterno o si considera altrettanto problematica la costituzione di gerarchie interne? Qui si apre la relazione con la produzione P2P (vedi sotto Dulong de Rosnay and Francesca Musiani 2016). </w:t>
      </w:r>
    </w:p>
    <w:p w:rsidR="00000000" w:rsidDel="00000000" w:rsidP="00000000" w:rsidRDefault="00000000" w:rsidRPr="00000000" w14:paraId="0000004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considerare i </w:t>
      </w:r>
      <w:r w:rsidDel="00000000" w:rsidR="00000000" w:rsidRPr="00000000">
        <w:rPr>
          <w:rFonts w:ascii="Times New Roman" w:cs="Times New Roman" w:eastAsia="Times New Roman" w:hAnsi="Times New Roman"/>
          <w:i w:val="1"/>
          <w:sz w:val="24"/>
          <w:szCs w:val="24"/>
          <w:rtl w:val="0"/>
        </w:rPr>
        <w:t xml:space="preserve">commoners</w:t>
      </w:r>
      <w:r w:rsidDel="00000000" w:rsidR="00000000" w:rsidRPr="00000000">
        <w:rPr>
          <w:rFonts w:ascii="Times New Roman" w:cs="Times New Roman" w:eastAsia="Times New Roman" w:hAnsi="Times New Roman"/>
          <w:sz w:val="24"/>
          <w:szCs w:val="24"/>
          <w:rtl w:val="0"/>
        </w:rPr>
        <w:t xml:space="preserve"> come eguali richiama, secondo Euler, il concetto di </w:t>
      </w:r>
      <w:r w:rsidDel="00000000" w:rsidR="00000000" w:rsidRPr="00000000">
        <w:rPr>
          <w:rFonts w:ascii="Times New Roman" w:cs="Times New Roman" w:eastAsia="Times New Roman" w:hAnsi="Times New Roman"/>
          <w:i w:val="1"/>
          <w:sz w:val="24"/>
          <w:szCs w:val="24"/>
          <w:rtl w:val="0"/>
        </w:rPr>
        <w:t xml:space="preserve">produzione sociale non di mercato</w:t>
      </w:r>
      <w:r w:rsidDel="00000000" w:rsidR="00000000" w:rsidRPr="00000000">
        <w:rPr>
          <w:rFonts w:ascii="Times New Roman" w:cs="Times New Roman" w:eastAsia="Times New Roman" w:hAnsi="Times New Roman"/>
          <w:sz w:val="24"/>
          <w:szCs w:val="24"/>
          <w:rtl w:val="0"/>
        </w:rPr>
        <w:t xml:space="preserve"> di Benkler (2001), vale a dire la “produzione non proprietaria da parte di pari che non interagiscono per mezzo di un’azienda o del mercato”. Si può dire che i pari siano “individui ampiamente distribuiti e debolmente connessi che cooperano tra di loro senza fare affidamento su segnali di mercato o ordini dal management” (Benkler 2006: 60; Euler 2015: 24). Il “sistema di produzione socio-economico che sta emergendo nell’ambiente delle reti digitali (Benkler &amp; Nissenbaum 2006: 394) è stato appunto chiamato “commons-based peer production” (Benkler 2006: 60).</w:t>
      </w:r>
    </w:p>
    <w:p w:rsidR="00000000" w:rsidDel="00000000" w:rsidP="00000000" w:rsidRDefault="00000000" w:rsidRPr="00000000" w14:paraId="0000004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Euler conclude che il </w:t>
      </w:r>
      <w:r w:rsidDel="00000000" w:rsidR="00000000" w:rsidRPr="00000000">
        <w:rPr>
          <w:rFonts w:ascii="Times New Roman" w:cs="Times New Roman" w:eastAsia="Times New Roman" w:hAnsi="Times New Roman"/>
          <w:i w:val="1"/>
          <w:sz w:val="24"/>
          <w:szCs w:val="24"/>
          <w:rtl w:val="0"/>
        </w:rPr>
        <w:t xml:space="preserve">commoning</w:t>
      </w:r>
      <w:r w:rsidDel="00000000" w:rsidR="00000000" w:rsidRPr="00000000">
        <w:rPr>
          <w:rFonts w:ascii="Times New Roman" w:cs="Times New Roman" w:eastAsia="Times New Roman" w:hAnsi="Times New Roman"/>
          <w:sz w:val="24"/>
          <w:szCs w:val="24"/>
          <w:rtl w:val="0"/>
        </w:rPr>
        <w:t xml:space="preserve"> può essere definito come un “(ri)</w:t>
      </w:r>
      <w:r w:rsidDel="00000000" w:rsidR="00000000" w:rsidRPr="00000000">
        <w:rPr>
          <w:rFonts w:ascii="Times New Roman" w:cs="Times New Roman" w:eastAsia="Times New Roman" w:hAnsi="Times New Roman"/>
          <w:i w:val="1"/>
          <w:sz w:val="24"/>
          <w:szCs w:val="24"/>
          <w:rtl w:val="0"/>
        </w:rPr>
        <w:t xml:space="preserve">produso </w:t>
      </w:r>
      <w:r w:rsidDel="00000000" w:rsidR="00000000" w:rsidRPr="00000000">
        <w:rPr>
          <w:rFonts w:ascii="Times New Roman" w:cs="Times New Roman" w:eastAsia="Times New Roman" w:hAnsi="Times New Roman"/>
          <w:sz w:val="24"/>
          <w:szCs w:val="24"/>
          <w:rtl w:val="0"/>
        </w:rPr>
        <w:t xml:space="preserve">e mediazione auto-organizzata tra pari che puntano a soddisfare i loro bisogni”. </w:t>
      </w:r>
    </w:p>
    <w:p w:rsidR="00000000" w:rsidDel="00000000" w:rsidP="00000000" w:rsidRDefault="00000000" w:rsidRPr="00000000" w14:paraId="0000004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questo processo viene inteso come una forma nella quale produzione e uso non vengono separati ed è svolta tra pari, essa dovrebbe essere denominata appunto come produso (</w:t>
      </w:r>
      <w:r w:rsidDel="00000000" w:rsidR="00000000" w:rsidRPr="00000000">
        <w:rPr>
          <w:rFonts w:ascii="Times New Roman" w:cs="Times New Roman" w:eastAsia="Times New Roman" w:hAnsi="Times New Roman"/>
          <w:i w:val="1"/>
          <w:sz w:val="24"/>
          <w:szCs w:val="24"/>
          <w:rtl w:val="0"/>
        </w:rPr>
        <w:t xml:space="preserve">produsage)</w:t>
      </w:r>
      <w:r w:rsidDel="00000000" w:rsidR="00000000" w:rsidRPr="00000000">
        <w:rPr>
          <w:rFonts w:ascii="Times New Roman" w:cs="Times New Roman" w:eastAsia="Times New Roman" w:hAnsi="Times New Roman"/>
          <w:sz w:val="24"/>
          <w:szCs w:val="24"/>
          <w:rtl w:val="0"/>
        </w:rPr>
        <w:t xml:space="preserve">. Usando il termine co-produzione si crea confusione perché esso è comunemente impiegato nella letteratura per indicare il risultato delle interazioni tra gli utenti di un servizio e fornitori </w:t>
      </w:r>
      <w:r w:rsidDel="00000000" w:rsidR="00000000" w:rsidRPr="00000000">
        <w:rPr>
          <w:rFonts w:ascii="Times New Roman" w:cs="Times New Roman" w:eastAsia="Times New Roman" w:hAnsi="Times New Roman"/>
          <w:sz w:val="24"/>
          <w:szCs w:val="24"/>
          <w:u w:val="single"/>
          <w:rtl w:val="0"/>
        </w:rPr>
        <w:t xml:space="preserve">(rapporto che non è tra pari</w:t>
      </w:r>
      <w:r w:rsidDel="00000000" w:rsidR="00000000" w:rsidRPr="00000000">
        <w:rPr>
          <w:rFonts w:ascii="Times New Roman" w:cs="Times New Roman" w:eastAsia="Times New Roman" w:hAnsi="Times New Roman"/>
          <w:sz w:val="24"/>
          <w:szCs w:val="24"/>
          <w:rtl w:val="0"/>
        </w:rPr>
        <w:t xml:space="preserve">): per esempio, in un ospedale i pazienti gastropatici e i loro medici</w:t>
      </w:r>
      <w:r w:rsidDel="00000000" w:rsidR="00000000" w:rsidRPr="00000000">
        <w:rPr>
          <w:rFonts w:ascii="Times New Roman" w:cs="Times New Roman" w:eastAsia="Times New Roman" w:hAnsi="Times New Roman"/>
          <w:color w:val="00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(per le esperienze britanniche in quest’area vedi il sito della organizzazione non profit NESTA : </w:t>
      </w:r>
      <w:hyperlink r:id="rId9">
        <w:r w:rsidDel="00000000" w:rsidR="00000000" w:rsidRPr="00000000">
          <w:rPr>
            <w:rFonts w:ascii="Times New Roman" w:cs="Times New Roman" w:eastAsia="Times New Roman" w:hAnsi="Times New Roman"/>
            <w:color w:val="1155cc"/>
            <w:sz w:val="24"/>
            <w:szCs w:val="24"/>
            <w:u w:val="single"/>
            <w:rtl w:val="0"/>
          </w:rPr>
          <w:t xml:space="preserve">https://www.nesta.org.uk/report/co-production-catalogue/</w:t>
        </w:r>
      </w:hyperlink>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049">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differenze nel concetto di </w:t>
      </w:r>
      <w:r w:rsidDel="00000000" w:rsidR="00000000" w:rsidRPr="00000000">
        <w:rPr>
          <w:rFonts w:ascii="Times New Roman" w:cs="Times New Roman" w:eastAsia="Times New Roman" w:hAnsi="Times New Roman"/>
          <w:i w:val="1"/>
          <w:sz w:val="24"/>
          <w:szCs w:val="24"/>
          <w:rtl w:val="0"/>
        </w:rPr>
        <w:t xml:space="preserve">commons</w:t>
      </w:r>
      <w:r w:rsidDel="00000000" w:rsidR="00000000" w:rsidRPr="00000000">
        <w:rPr>
          <w:rFonts w:ascii="Times New Roman" w:cs="Times New Roman" w:eastAsia="Times New Roman" w:hAnsi="Times New Roman"/>
          <w:sz w:val="24"/>
          <w:szCs w:val="24"/>
          <w:rtl w:val="0"/>
        </w:rPr>
        <w:t xml:space="preserve">, ancora prima dell’osservazione della realtà, sono tali che hanno portato Bollier ed Helfrich (2015) a suggerire di focalizzarsi sui diversi processi di </w:t>
      </w:r>
      <w:r w:rsidDel="00000000" w:rsidR="00000000" w:rsidRPr="00000000">
        <w:rPr>
          <w:rFonts w:ascii="Times New Roman" w:cs="Times New Roman" w:eastAsia="Times New Roman" w:hAnsi="Times New Roman"/>
          <w:i w:val="1"/>
          <w:sz w:val="24"/>
          <w:szCs w:val="24"/>
          <w:rtl w:val="0"/>
        </w:rPr>
        <w:t xml:space="preserve">commoning</w:t>
      </w:r>
      <w:r w:rsidDel="00000000" w:rsidR="00000000" w:rsidRPr="00000000">
        <w:rPr>
          <w:rFonts w:ascii="Times New Roman" w:cs="Times New Roman" w:eastAsia="Times New Roman" w:hAnsi="Times New Roman"/>
          <w:sz w:val="24"/>
          <w:szCs w:val="24"/>
          <w:rtl w:val="0"/>
        </w:rPr>
        <w:t xml:space="preserve">. Ma riassumerò brevemente il dibattito con dei riferimenti essenziali per toccare tutti gli aspetti che servono per fare chiarezza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contributo importante sulle differenze interne alla produzione P2P e che può essere d’ispirazione nel nostro caso viene da Melanie Dulong de Rosnay e Francesca Musiani (2016). Esso non vale solo per la P2P dei </w:t>
      </w:r>
      <w:r w:rsidDel="00000000" w:rsidR="00000000" w:rsidRPr="00000000">
        <w:rPr>
          <w:rFonts w:ascii="Times New Roman" w:cs="Times New Roman" w:eastAsia="Times New Roman" w:hAnsi="Times New Roman"/>
          <w:i w:val="1"/>
          <w:sz w:val="24"/>
          <w:szCs w:val="24"/>
          <w:rtl w:val="0"/>
        </w:rPr>
        <w:t xml:space="preserve">commons</w:t>
      </w:r>
      <w:r w:rsidDel="00000000" w:rsidR="00000000" w:rsidRPr="00000000">
        <w:rPr>
          <w:rFonts w:ascii="Times New Roman" w:cs="Times New Roman" w:eastAsia="Times New Roman" w:hAnsi="Times New Roman"/>
          <w:sz w:val="24"/>
          <w:szCs w:val="24"/>
          <w:rtl w:val="0"/>
        </w:rPr>
        <w:t xml:space="preserve"> (vedi Benkler, 2006), ma anche per altre forme collaborative non gerarchiche come il </w:t>
      </w:r>
      <w:r w:rsidDel="00000000" w:rsidR="00000000" w:rsidRPr="00000000">
        <w:rPr>
          <w:rFonts w:ascii="Times New Roman" w:cs="Times New Roman" w:eastAsia="Times New Roman" w:hAnsi="Times New Roman"/>
          <w:i w:val="1"/>
          <w:sz w:val="24"/>
          <w:szCs w:val="24"/>
          <w:rtl w:val="0"/>
        </w:rPr>
        <w:t xml:space="preserve">crowdsourcing</w:t>
      </w:r>
      <w:r w:rsidDel="00000000" w:rsidR="00000000" w:rsidRPr="00000000">
        <w:rPr>
          <w:rFonts w:ascii="Times New Roman" w:cs="Times New Roman" w:eastAsia="Times New Roman" w:hAnsi="Times New Roman"/>
          <w:sz w:val="24"/>
          <w:szCs w:val="24"/>
          <w:rtl w:val="0"/>
        </w:rPr>
        <w:t xml:space="preserve"> (coordinamento top-down: Dulong de Rosnay e Musiani 2016: 191) con fini di profitto o meno. Le autrici propongono una tipologia di piattaforme P2P basate sulla dicotomia centralizzazione/decentralizzazione con cinque caratteristiche di progettazione: proprietà dei mezzi di produzione/architettura tecnica, organizzazione sociale/governance del modello di lavoro, proprietà delle risorse prodotte tra pari, creazione di valore. Più in generale, l’obiettivo delle autrici è di contribuire a far luce su concetti come sharing economy, partecipazione, collaborazione, commons (=bottom-up, auto-organizzazione: ib. 191), attraverso l’analisi e la sistematizzazione di vari fattori sottostanti le piattaforme nelle quali tali processi hanno luogo e per apprezzare il valore al di là del guadagno individuale (ib.: 2).</w:t>
      </w:r>
    </w:p>
    <w:p w:rsidR="00000000" w:rsidDel="00000000" w:rsidP="00000000" w:rsidRDefault="00000000" w:rsidRPr="00000000" w14:paraId="0000004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commoning è il processo attraverso il quale le persone gestiscono risorse condivise attraverso la negoziazione delle regole facendo riferimento alle tradizioni sociali e al diritto consuetudinario, o perfino a regole e pratiche informali. Il commoning è qualcosa di diverso da un fondo comune (CPR = </w:t>
      </w:r>
      <w:r w:rsidDel="00000000" w:rsidR="00000000" w:rsidRPr="00000000">
        <w:rPr>
          <w:rFonts w:ascii="Times New Roman" w:cs="Times New Roman" w:eastAsia="Times New Roman" w:hAnsi="Times New Roman"/>
          <w:i w:val="1"/>
          <w:sz w:val="24"/>
          <w:szCs w:val="24"/>
          <w:rtl w:val="0"/>
        </w:rPr>
        <w:t xml:space="preserve">Common pool resources</w:t>
      </w:r>
      <w:r w:rsidDel="00000000" w:rsidR="00000000" w:rsidRPr="00000000">
        <w:rPr>
          <w:rFonts w:ascii="Times New Roman" w:cs="Times New Roman" w:eastAsia="Times New Roman" w:hAnsi="Times New Roman"/>
          <w:sz w:val="24"/>
          <w:szCs w:val="24"/>
          <w:rtl w:val="0"/>
        </w:rPr>
        <w:t xml:space="preserve">). Quest’ultimo implica un regime ad accesso libero, in cui le risorse sono disponibili liberamente a chiunque, data l’assenza di regole per la loro gestione (Quilligan 2012). </w:t>
      </w:r>
    </w:p>
    <w:p w:rsidR="00000000" w:rsidDel="00000000" w:rsidP="00000000" w:rsidRDefault="00000000" w:rsidRPr="00000000" w14:paraId="0000004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Quilligan afferma che la risposta alle seguenti due domande aiuta a distinguere tra le due forme: Questa specifica risorsa necessita di una gestione con un mandato sociale o è espressione di collaborazione e mutualità sociale? Questa proprietà verrebbe gestita meglio dallo stato o dal pubblico?</w:t>
      </w:r>
    </w:p>
    <w:p w:rsidR="00000000" w:rsidDel="00000000" w:rsidP="00000000" w:rsidRDefault="00000000" w:rsidRPr="00000000" w14:paraId="0000004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Nel caso del </w:t>
      </w:r>
      <w:r w:rsidDel="00000000" w:rsidR="00000000" w:rsidRPr="00000000">
        <w:rPr>
          <w:rFonts w:ascii="Times New Roman" w:cs="Times New Roman" w:eastAsia="Times New Roman" w:hAnsi="Times New Roman"/>
          <w:i w:val="1"/>
          <w:sz w:val="24"/>
          <w:szCs w:val="24"/>
          <w:rtl w:val="0"/>
        </w:rPr>
        <w:t xml:space="preserve">commoning</w:t>
      </w:r>
      <w:r w:rsidDel="00000000" w:rsidR="00000000" w:rsidRPr="00000000">
        <w:rPr>
          <w:rFonts w:ascii="Times New Roman" w:cs="Times New Roman" w:eastAsia="Times New Roman" w:hAnsi="Times New Roman"/>
          <w:sz w:val="24"/>
          <w:szCs w:val="24"/>
          <w:rtl w:val="0"/>
        </w:rPr>
        <w:t xml:space="preserve"> il risultato delle negoziazioni nella comunità </w:t>
      </w:r>
      <w:r w:rsidDel="00000000" w:rsidR="00000000" w:rsidRPr="00000000">
        <w:rPr>
          <w:rFonts w:ascii="Times New Roman" w:cs="Times New Roman" w:eastAsia="Times New Roman" w:hAnsi="Times New Roman"/>
          <w:sz w:val="24"/>
          <w:szCs w:val="24"/>
          <w:rtl w:val="0"/>
        </w:rPr>
        <w:t xml:space="preserve">è stabilito da quello che nella cultura anglosassone è definita Social Charter, vale a dire una Carta dei diritti e dei doveri dei </w:t>
      </w:r>
      <w:r w:rsidDel="00000000" w:rsidR="00000000" w:rsidRPr="00000000">
        <w:rPr>
          <w:rFonts w:ascii="Times New Roman" w:cs="Times New Roman" w:eastAsia="Times New Roman" w:hAnsi="Times New Roman"/>
          <w:i w:val="1"/>
          <w:sz w:val="24"/>
          <w:szCs w:val="24"/>
          <w:rtl w:val="0"/>
        </w:rPr>
        <w:t xml:space="preserve">commoner</w:t>
      </w:r>
      <w:r w:rsidDel="00000000" w:rsidR="00000000" w:rsidRPr="00000000">
        <w:rPr>
          <w:rFonts w:ascii="Times New Roman" w:cs="Times New Roman" w:eastAsia="Times New Roman" w:hAnsi="Times New Roman"/>
          <w:sz w:val="24"/>
          <w:szCs w:val="24"/>
          <w:rtl w:val="0"/>
        </w:rPr>
        <w:t xml:space="preserve"> che regola l’uso delle risorse messe in comune e che viene resa operativa da un’entità legale o un’associazione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di cittadini portatori d’interesse (</w:t>
      </w:r>
      <w:r w:rsidDel="00000000" w:rsidR="00000000" w:rsidRPr="00000000">
        <w:rPr>
          <w:rFonts w:ascii="Times New Roman" w:cs="Times New Roman" w:eastAsia="Times New Roman" w:hAnsi="Times New Roman"/>
          <w:i w:val="1"/>
          <w:sz w:val="24"/>
          <w:szCs w:val="24"/>
          <w:rtl w:val="0"/>
        </w:rPr>
        <w:t xml:space="preserve">stakeholder</w:t>
      </w:r>
      <w:r w:rsidDel="00000000" w:rsidR="00000000" w:rsidRPr="00000000">
        <w:rPr>
          <w:rFonts w:ascii="Times New Roman" w:cs="Times New Roman" w:eastAsia="Times New Roman" w:hAnsi="Times New Roman"/>
          <w:sz w:val="24"/>
          <w:szCs w:val="24"/>
          <w:rtl w:val="0"/>
        </w:rPr>
        <w:t xml:space="preserve">) sotto forma di </w:t>
      </w:r>
      <w:r w:rsidDel="00000000" w:rsidR="00000000" w:rsidRPr="00000000">
        <w:rPr>
          <w:rFonts w:ascii="Times New Roman" w:cs="Times New Roman" w:eastAsia="Times New Roman" w:hAnsi="Times New Roman"/>
          <w:i w:val="1"/>
          <w:sz w:val="24"/>
          <w:szCs w:val="24"/>
          <w:rtl w:val="0"/>
        </w:rPr>
        <w:t xml:space="preserve">trust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Questa entità stabilisce un limite all’estrazione o all’uso di risorse attraverso una metrica intergenerazionale che non può essere monetizzata (</w:t>
      </w:r>
      <w:r w:rsidDel="00000000" w:rsidR="00000000" w:rsidRPr="00000000">
        <w:rPr>
          <w:rFonts w:ascii="Times New Roman" w:cs="Times New Roman" w:eastAsia="Times New Roman" w:hAnsi="Times New Roman"/>
          <w:i w:val="1"/>
          <w:sz w:val="24"/>
          <w:szCs w:val="24"/>
          <w:rtl w:val="0"/>
        </w:rPr>
        <w:t xml:space="preserve">sostenibilità, qualità della vita, benessere</w:t>
      </w:r>
      <w:r w:rsidDel="00000000" w:rsidR="00000000" w:rsidRPr="00000000">
        <w:rPr>
          <w:rFonts w:ascii="Times New Roman" w:cs="Times New Roman" w:eastAsia="Times New Roman" w:hAnsi="Times New Roman"/>
          <w:sz w:val="24"/>
          <w:szCs w:val="24"/>
          <w:rtl w:val="0"/>
        </w:rPr>
        <w:t xml:space="preserve">). A mio avviso essa andrebbe integrata da indicatori di sofferenza esistenziale, economica e sociale. </w:t>
      </w:r>
    </w:p>
    <w:p w:rsidR="00000000" w:rsidDel="00000000" w:rsidP="00000000" w:rsidRDefault="00000000" w:rsidRPr="00000000" w14:paraId="0000005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consumo di beni e servizi dei commons -  risultato del lavoro dei consumatori stessi come produttori - crea un nuovo tipo di relazioni sociali alimentate da motivazioni, conoscenze e abilità nate da questa forma di esperienza. Essa, a sua volta, genera nuove forme di coordinamento e leadership. </w:t>
      </w:r>
    </w:p>
    <w:p w:rsidR="00000000" w:rsidDel="00000000" w:rsidP="00000000" w:rsidRDefault="00000000" w:rsidRPr="00000000" w14:paraId="00000051">
      <w:pPr>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Da qui può emergere, secondo alcuni, una nuova forza politica che si costituisce al di là dello stato, </w:t>
      </w:r>
      <w:r w:rsidDel="00000000" w:rsidR="00000000" w:rsidRPr="00000000">
        <w:rPr>
          <w:rFonts w:ascii="Times New Roman" w:cs="Times New Roman" w:eastAsia="Times New Roman" w:hAnsi="Times New Roman"/>
          <w:sz w:val="24"/>
          <w:szCs w:val="24"/>
          <w:rtl w:val="0"/>
        </w:rPr>
        <w:t xml:space="preserve">trasformando </w:t>
      </w:r>
      <w:r w:rsidDel="00000000" w:rsidR="00000000" w:rsidRPr="00000000">
        <w:rPr>
          <w:rFonts w:ascii="Times New Roman" w:cs="Times New Roman" w:eastAsia="Times New Roman" w:hAnsi="Times New Roman"/>
          <w:sz w:val="24"/>
          <w:szCs w:val="24"/>
          <w:rtl w:val="0"/>
        </w:rPr>
        <w:t xml:space="preserve">la stessa democrazia rappresentativa e progressivamente trasferendo il potere decisionale dall’attuale sistema politico verticale a nuove forme basate su auto-organizzazione e interdipendenza. Secondo Quilligan (2012), esse possono contare su una forma di cittadinanza globale e sovranità locale dei </w:t>
      </w:r>
      <w:r w:rsidDel="00000000" w:rsidR="00000000" w:rsidRPr="00000000">
        <w:rPr>
          <w:rFonts w:ascii="Times New Roman" w:cs="Times New Roman" w:eastAsia="Times New Roman" w:hAnsi="Times New Roman"/>
          <w:i w:val="1"/>
          <w:sz w:val="24"/>
          <w:szCs w:val="24"/>
          <w:rtl w:val="0"/>
        </w:rPr>
        <w:t xml:space="preserve">commons. </w:t>
      </w:r>
    </w:p>
    <w:p w:rsidR="00000000" w:rsidDel="00000000" w:rsidP="00000000" w:rsidRDefault="00000000" w:rsidRPr="00000000" w14:paraId="00000052">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i w:val="1"/>
          <w:sz w:val="24"/>
          <w:szCs w:val="24"/>
        </w:rPr>
      </w:pPr>
      <w:bookmarkStart w:colFirst="0" w:colLast="0" w:name="_heading=h.30j0zll" w:id="1"/>
      <w:bookmarkEnd w:id="1"/>
      <w:r w:rsidDel="00000000" w:rsidR="00000000" w:rsidRPr="00000000">
        <w:rPr>
          <w:rFonts w:ascii="Times New Roman" w:cs="Times New Roman" w:eastAsia="Times New Roman" w:hAnsi="Times New Roman"/>
          <w:i w:val="1"/>
          <w:sz w:val="24"/>
          <w:szCs w:val="24"/>
          <w:rtl w:val="0"/>
        </w:rPr>
        <w:t xml:space="preserve">Note bibliografiche (da inserire)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Con questo termine si intende un processo culturale attraverso cui si attribuisce ad un evento o oggetto caratteristiche di esistenza in sé, ovvero un fondamento ontologico.</w:t>
      </w:r>
    </w:p>
  </w:footnote>
  <w:footnote w:id="1">
    <w:p w:rsidR="00000000" w:rsidDel="00000000" w:rsidP="00000000" w:rsidRDefault="00000000" w:rsidRPr="00000000" w14:paraId="0000005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Vale a dire che si attribuiscono caratteri di naturalità a fenomeno che in realtà sono definiti socialmente.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e" w:default="1">
    <w:name w:val="Normal"/>
  </w:style>
  <w:style w:type="paragraph" w:styleId="Titolo1">
    <w:name w:val="heading 1"/>
    <w:basedOn w:val="Normale"/>
    <w:next w:val="Normale"/>
    <w:pPr>
      <w:keepNext w:val="1"/>
      <w:keepLines w:val="1"/>
      <w:spacing w:after="120" w:before="400"/>
      <w:outlineLvl w:val="0"/>
    </w:pPr>
    <w:rPr>
      <w:sz w:val="40"/>
      <w:szCs w:val="40"/>
    </w:rPr>
  </w:style>
  <w:style w:type="paragraph" w:styleId="Titolo2">
    <w:name w:val="heading 2"/>
    <w:basedOn w:val="Normale"/>
    <w:next w:val="Normale"/>
    <w:pPr>
      <w:keepNext w:val="1"/>
      <w:keepLines w:val="1"/>
      <w:spacing w:after="120" w:before="360"/>
      <w:outlineLvl w:val="1"/>
    </w:pPr>
    <w:rPr>
      <w:sz w:val="32"/>
      <w:szCs w:val="32"/>
    </w:rPr>
  </w:style>
  <w:style w:type="paragraph" w:styleId="Titolo3">
    <w:name w:val="heading 3"/>
    <w:basedOn w:val="Normale"/>
    <w:next w:val="Normale"/>
    <w:pPr>
      <w:keepNext w:val="1"/>
      <w:keepLines w:val="1"/>
      <w:spacing w:after="80" w:before="320"/>
      <w:outlineLvl w:val="2"/>
    </w:pPr>
    <w:rPr>
      <w:color w:val="434343"/>
      <w:sz w:val="28"/>
      <w:szCs w:val="28"/>
    </w:rPr>
  </w:style>
  <w:style w:type="paragraph" w:styleId="Titolo4">
    <w:name w:val="heading 4"/>
    <w:basedOn w:val="Normale"/>
    <w:next w:val="Normale"/>
    <w:pPr>
      <w:keepNext w:val="1"/>
      <w:keepLines w:val="1"/>
      <w:spacing w:after="80" w:before="280"/>
      <w:outlineLvl w:val="3"/>
    </w:pPr>
    <w:rPr>
      <w:color w:val="666666"/>
      <w:sz w:val="24"/>
      <w:szCs w:val="24"/>
    </w:rPr>
  </w:style>
  <w:style w:type="paragraph" w:styleId="Titolo5">
    <w:name w:val="heading 5"/>
    <w:basedOn w:val="Normale"/>
    <w:next w:val="Normale"/>
    <w:pPr>
      <w:keepNext w:val="1"/>
      <w:keepLines w:val="1"/>
      <w:spacing w:after="80" w:before="240"/>
      <w:outlineLvl w:val="4"/>
    </w:pPr>
    <w:rPr>
      <w:color w:val="666666"/>
    </w:rPr>
  </w:style>
  <w:style w:type="paragraph" w:styleId="Titolo6">
    <w:name w:val="heading 6"/>
    <w:basedOn w:val="Normale"/>
    <w:next w:val="Normale"/>
    <w:pPr>
      <w:keepNext w:val="1"/>
      <w:keepLines w:val="1"/>
      <w:spacing w:after="80" w:before="240"/>
      <w:outlineLvl w:val="5"/>
    </w:pPr>
    <w:rPr>
      <w:i w:val="1"/>
      <w:color w:val="666666"/>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ottotitolo">
    <w:name w:val="Subtitle"/>
    <w:basedOn w:val="Normale"/>
    <w:next w:val="Normale"/>
    <w:pPr>
      <w:keepNext w:val="1"/>
      <w:keepLines w:val="1"/>
      <w:spacing w:after="320"/>
    </w:pPr>
    <w:rPr>
      <w:color w:val="666666"/>
      <w:sz w:val="30"/>
      <w:szCs w:val="30"/>
    </w:r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paragraph" w:styleId="Paragrafoelenco">
    <w:name w:val="List Paragraph"/>
    <w:basedOn w:val="Normale"/>
    <w:uiPriority w:val="34"/>
    <w:qFormat w:val="1"/>
    <w:rsid w:val="003C54A9"/>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nesta.org.uk/report/co-production-catalogu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timeban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DXFCY90igUSgU1NlOoUI3E7aGg==">AMUW2mXQpviLyg9enpyvtWF2HYtwmlhX2egHqXVLi7g2NonCd62zkARie4KLaQA1y22zPR91z0FzkGWdVYq/FJKN68jSd8mFcGXIw16UHKoGi4FePvt31+L4lS5FJSoQrzFgXs80vMTU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2021-03-31T07:56:00Z</dcterms:created>
  <dc:creator>User</dc:creator>
</cp:coreProperties>
</file>