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46041" w14:textId="77777777" w:rsidR="00084B88" w:rsidRDefault="00E95CE7" w:rsidP="00E85FF0">
      <w:pPr>
        <w:jc w:val="center"/>
        <w:rPr>
          <w:b/>
          <w:sz w:val="28"/>
        </w:rPr>
      </w:pPr>
      <w:r w:rsidRPr="00E95CE7">
        <w:rPr>
          <w:b/>
          <w:sz w:val="28"/>
        </w:rPr>
        <w:t xml:space="preserve">Trasformazione digitale e </w:t>
      </w:r>
      <w:r>
        <w:rPr>
          <w:b/>
          <w:sz w:val="28"/>
        </w:rPr>
        <w:t>mobilità post Covid-19</w:t>
      </w:r>
    </w:p>
    <w:p w14:paraId="7E4D63E5" w14:textId="77777777" w:rsidR="00E841C9" w:rsidRPr="00E85FF0" w:rsidRDefault="00E95CE7" w:rsidP="00E85FF0">
      <w:pPr>
        <w:jc w:val="center"/>
        <w:rPr>
          <w:b/>
          <w:sz w:val="28"/>
        </w:rPr>
      </w:pPr>
      <w:r>
        <w:rPr>
          <w:b/>
          <w:sz w:val="28"/>
        </w:rPr>
        <w:t xml:space="preserve">Azioni congiunte MID - </w:t>
      </w:r>
      <w:r w:rsidR="00E85FF0">
        <w:rPr>
          <w:b/>
          <w:sz w:val="28"/>
        </w:rPr>
        <w:t>Osservatorio Smart Road</w:t>
      </w:r>
      <w:r>
        <w:rPr>
          <w:b/>
          <w:sz w:val="28"/>
        </w:rPr>
        <w:t xml:space="preserve"> del MIT</w:t>
      </w:r>
    </w:p>
    <w:p w14:paraId="79FE3C11" w14:textId="77777777" w:rsidR="00911DAC" w:rsidRDefault="00911DAC" w:rsidP="00E85FF0">
      <w:pPr>
        <w:jc w:val="both"/>
      </w:pPr>
    </w:p>
    <w:p w14:paraId="295341C0" w14:textId="77777777" w:rsidR="00911DAC" w:rsidRPr="00911DAC" w:rsidRDefault="00911DAC" w:rsidP="00911DAC">
      <w:pPr>
        <w:pStyle w:val="Paragrafoelenco"/>
        <w:numPr>
          <w:ilvl w:val="0"/>
          <w:numId w:val="1"/>
        </w:numPr>
        <w:jc w:val="both"/>
        <w:rPr>
          <w:b/>
          <w:sz w:val="24"/>
        </w:rPr>
      </w:pPr>
      <w:r w:rsidRPr="00911DAC">
        <w:rPr>
          <w:b/>
          <w:sz w:val="24"/>
        </w:rPr>
        <w:t>Motivazioni</w:t>
      </w:r>
      <w:r w:rsidR="00EA576F">
        <w:rPr>
          <w:b/>
          <w:sz w:val="24"/>
        </w:rPr>
        <w:t>,</w:t>
      </w:r>
      <w:r w:rsidRPr="00911DAC">
        <w:rPr>
          <w:b/>
          <w:sz w:val="24"/>
        </w:rPr>
        <w:t xml:space="preserve"> contesto</w:t>
      </w:r>
      <w:r w:rsidR="00EA576F">
        <w:rPr>
          <w:b/>
          <w:sz w:val="24"/>
        </w:rPr>
        <w:t xml:space="preserve"> e obiettivi</w:t>
      </w:r>
      <w:r w:rsidR="00B64794">
        <w:rPr>
          <w:b/>
          <w:sz w:val="24"/>
        </w:rPr>
        <w:t xml:space="preserve"> generali</w:t>
      </w:r>
    </w:p>
    <w:p w14:paraId="7A0E3A0A" w14:textId="77777777" w:rsidR="00911DAC" w:rsidRDefault="008A30B9" w:rsidP="00911DAC">
      <w:pPr>
        <w:jc w:val="both"/>
      </w:pPr>
      <w:r>
        <w:t xml:space="preserve">La </w:t>
      </w:r>
      <w:r w:rsidR="00911DAC" w:rsidRPr="00F82E47">
        <w:t xml:space="preserve">crisi emergenziale </w:t>
      </w:r>
      <w:r w:rsidRPr="00F82E47">
        <w:t>dovut</w:t>
      </w:r>
      <w:r>
        <w:t>a</w:t>
      </w:r>
      <w:r w:rsidRPr="00F82E47">
        <w:t xml:space="preserve"> </w:t>
      </w:r>
      <w:r w:rsidR="00911DAC" w:rsidRPr="00F82E47">
        <w:t>al virus COVID-19 è stata definita la più grave dal secondo dopoguerra.</w:t>
      </w:r>
      <w:r w:rsidR="00911DAC">
        <w:t xml:space="preserve"> </w:t>
      </w:r>
      <w:r w:rsidR="006A3348">
        <w:t>L’</w:t>
      </w:r>
      <w:r w:rsidR="00911DAC">
        <w:t xml:space="preserve">emergenza </w:t>
      </w:r>
      <w:r w:rsidR="006A3348">
        <w:t xml:space="preserve">più acuta </w:t>
      </w:r>
      <w:r w:rsidR="00911DAC">
        <w:t xml:space="preserve">si sta </w:t>
      </w:r>
      <w:r w:rsidR="006A3348">
        <w:t xml:space="preserve">superando </w:t>
      </w:r>
      <w:r w:rsidR="0077133C">
        <w:t>con</w:t>
      </w:r>
      <w:r w:rsidR="00911DAC">
        <w:t xml:space="preserve"> l’applicazione di provvedimenti eccezionali </w:t>
      </w:r>
      <w:r w:rsidR="0077133C">
        <w:t>e con l’imposizione di un</w:t>
      </w:r>
      <w:r w:rsidR="00911DAC">
        <w:t xml:space="preserve"> “</w:t>
      </w:r>
      <w:proofErr w:type="spellStart"/>
      <w:r w:rsidR="00911DAC">
        <w:t>lockdown</w:t>
      </w:r>
      <w:proofErr w:type="spellEnd"/>
      <w:r w:rsidR="00911DAC">
        <w:t>”</w:t>
      </w:r>
      <w:r w:rsidR="006A3348">
        <w:t>,</w:t>
      </w:r>
      <w:r w:rsidR="00911DAC">
        <w:t xml:space="preserve"> </w:t>
      </w:r>
      <w:r w:rsidR="002A5C44">
        <w:t>per</w:t>
      </w:r>
      <w:r w:rsidR="00911DAC">
        <w:t xml:space="preserve"> </w:t>
      </w:r>
      <w:r w:rsidR="00911DAC" w:rsidRPr="00F82E47">
        <w:t>contenere i contagi</w:t>
      </w:r>
      <w:r w:rsidR="0077133C">
        <w:t xml:space="preserve"> </w:t>
      </w:r>
      <w:r w:rsidR="002A5C44">
        <w:t>e</w:t>
      </w:r>
      <w:r w:rsidR="00911DAC" w:rsidRPr="00F82E47">
        <w:t xml:space="preserve"> giungere</w:t>
      </w:r>
      <w:r w:rsidR="0077133C">
        <w:t>,</w:t>
      </w:r>
      <w:r w:rsidR="00911DAC" w:rsidRPr="00F82E47">
        <w:t xml:space="preserve"> nel più breve tempo possibile, ad un numero di casi positivi all’interno dei confini nazionali</w:t>
      </w:r>
      <w:r w:rsidR="00B64794">
        <w:t xml:space="preserve"> </w:t>
      </w:r>
      <w:r w:rsidR="00911DAC" w:rsidRPr="00F82E47">
        <w:t>il più vicino possibile allo zero</w:t>
      </w:r>
      <w:r w:rsidR="00911DAC">
        <w:t>.</w:t>
      </w:r>
      <w:r w:rsidR="002A5C44">
        <w:t xml:space="preserve"> </w:t>
      </w:r>
      <w:r w:rsidR="00911DAC">
        <w:t xml:space="preserve">La cosiddetta “Fase 2” consiste </w:t>
      </w:r>
      <w:r w:rsidR="002A5C44">
        <w:t xml:space="preserve">ora </w:t>
      </w:r>
      <w:r w:rsidR="00911DAC">
        <w:t>nel riavvio delle attività e, con queste, nell’allentamento delle restrizioni alla mobilità</w:t>
      </w:r>
      <w:r w:rsidR="0077133C">
        <w:t>,</w:t>
      </w:r>
      <w:r w:rsidR="00911DAC">
        <w:t xml:space="preserve"> </w:t>
      </w:r>
      <w:r w:rsidR="0077133C">
        <w:t xml:space="preserve">con </w:t>
      </w:r>
      <w:r w:rsidR="00911DAC">
        <w:t>la ripartenza dei trasporti, elemento essenziale per le attività economiche e produttive.</w:t>
      </w:r>
    </w:p>
    <w:p w14:paraId="0ED582ED" w14:textId="77777777" w:rsidR="00D15C2D" w:rsidRDefault="002A5C44" w:rsidP="00911DAC">
      <w:pPr>
        <w:jc w:val="both"/>
      </w:pPr>
      <w:r>
        <w:t xml:space="preserve">Per la </w:t>
      </w:r>
      <w:r w:rsidR="00BE3608">
        <w:t>“</w:t>
      </w:r>
      <w:r>
        <w:t>Fase 2</w:t>
      </w:r>
      <w:r w:rsidR="00BE3608">
        <w:t>”</w:t>
      </w:r>
      <w:r>
        <w:t xml:space="preserve"> a</w:t>
      </w:r>
      <w:r w:rsidR="00D15C2D">
        <w:t xml:space="preserve">lcune criticità si affacciano con prepotenza, con riferimento al sistema della mobilità; esse minacciano di aggravare la crisi del settore dei trasporti che, come altri, ha già avuto ripercussioni economiche assai significative dal periodo di </w:t>
      </w:r>
      <w:proofErr w:type="spellStart"/>
      <w:r w:rsidR="00D15C2D">
        <w:t>lockdown</w:t>
      </w:r>
      <w:proofErr w:type="spellEnd"/>
      <w:r w:rsidR="00D15C2D">
        <w:t xml:space="preserve">. Particolare evidenza assume, tra le altre, la questione legata al mantenimento di </w:t>
      </w:r>
      <w:r w:rsidR="00D15C2D" w:rsidRPr="0015204B">
        <w:rPr>
          <w:u w:val="single"/>
        </w:rPr>
        <w:t xml:space="preserve">opportune condizioni di </w:t>
      </w:r>
      <w:r w:rsidR="0015204B" w:rsidRPr="0015204B">
        <w:rPr>
          <w:u w:val="single"/>
        </w:rPr>
        <w:t>distanziamento interpersonale</w:t>
      </w:r>
      <w:r w:rsidR="00D15C2D">
        <w:t xml:space="preserve"> nel trasporto pubblico. Tale imprescindibile </w:t>
      </w:r>
      <w:r w:rsidR="0015204B">
        <w:t>requisito</w:t>
      </w:r>
      <w:r w:rsidR="00D15C2D">
        <w:t xml:space="preserve"> </w:t>
      </w:r>
      <w:r w:rsidR="0015204B">
        <w:t>risponde alla esigenza di assicurare:</w:t>
      </w:r>
    </w:p>
    <w:p w14:paraId="300C8A27" w14:textId="77777777" w:rsidR="0015204B" w:rsidRDefault="0015204B" w:rsidP="0015204B">
      <w:pPr>
        <w:pStyle w:val="Paragrafoelenco"/>
        <w:numPr>
          <w:ilvl w:val="0"/>
          <w:numId w:val="4"/>
        </w:numPr>
        <w:jc w:val="both"/>
      </w:pPr>
      <w:r>
        <w:t xml:space="preserve">l’efficacia ed efficienza </w:t>
      </w:r>
      <w:r w:rsidR="002A5C44">
        <w:t>di</w:t>
      </w:r>
      <w:r>
        <w:t xml:space="preserve"> dispositivi e procedure di protezione personale</w:t>
      </w:r>
      <w:r w:rsidR="002A5C44">
        <w:t>,</w:t>
      </w:r>
      <w:r>
        <w:t xml:space="preserve"> a salvaguardia della sicurezza degli operatori dei servizi di trasporto e degli utenti trasportati;</w:t>
      </w:r>
    </w:p>
    <w:p w14:paraId="6C1CBBA7" w14:textId="77777777" w:rsidR="0015204B" w:rsidRDefault="00F55A10" w:rsidP="0015204B">
      <w:pPr>
        <w:pStyle w:val="Paragrafoelenco"/>
        <w:numPr>
          <w:ilvl w:val="0"/>
          <w:numId w:val="4"/>
        </w:numPr>
        <w:jc w:val="both"/>
      </w:pPr>
      <w:r>
        <w:t>una</w:t>
      </w:r>
      <w:r w:rsidR="0015204B">
        <w:t xml:space="preserve"> sicurezza oggettiva</w:t>
      </w:r>
      <w:r>
        <w:t xml:space="preserve">, percepita come tale dagli utenti, </w:t>
      </w:r>
      <w:r w:rsidR="0015204B">
        <w:t xml:space="preserve">della modalità di trasporto pubblico, in grado di evitare </w:t>
      </w:r>
      <w:r>
        <w:t>la</w:t>
      </w:r>
      <w:r w:rsidR="0015204B">
        <w:t xml:space="preserve"> fuga </w:t>
      </w:r>
      <w:r>
        <w:t>di</w:t>
      </w:r>
      <w:r w:rsidR="0015204B">
        <w:t xml:space="preserve"> massa da tale modalità di trasporto </w:t>
      </w:r>
      <w:r>
        <w:t>con</w:t>
      </w:r>
      <w:r w:rsidR="00497CFC">
        <w:t xml:space="preserve"> effetti, oltre che di aumento delle diseguaglianze sociali, di incremento della congestione da traffico veicolare, con relative </w:t>
      </w:r>
      <w:r>
        <w:t>in</w:t>
      </w:r>
      <w:r w:rsidR="00497CFC">
        <w:t>efficienz</w:t>
      </w:r>
      <w:r>
        <w:t>e</w:t>
      </w:r>
      <w:r w:rsidR="00497CFC">
        <w:t xml:space="preserve"> del sistema nel suo complesso e</w:t>
      </w:r>
      <w:r>
        <w:t>d</w:t>
      </w:r>
      <w:r w:rsidR="00497CFC">
        <w:t xml:space="preserve"> aggravamento d</w:t>
      </w:r>
      <w:r>
        <w:t>’</w:t>
      </w:r>
      <w:r w:rsidR="00497CFC">
        <w:t>impatti ambientali ed energetici;</w:t>
      </w:r>
    </w:p>
    <w:p w14:paraId="2557EC6E" w14:textId="77777777" w:rsidR="00497CFC" w:rsidRDefault="00F55A10" w:rsidP="0015204B">
      <w:pPr>
        <w:pStyle w:val="Paragrafoelenco"/>
        <w:numPr>
          <w:ilvl w:val="0"/>
          <w:numId w:val="4"/>
        </w:numPr>
        <w:jc w:val="both"/>
      </w:pPr>
      <w:r>
        <w:t>il</w:t>
      </w:r>
      <w:r w:rsidR="00497CFC">
        <w:t xml:space="preserve"> mantenimento</w:t>
      </w:r>
      <w:r>
        <w:t>,</w:t>
      </w:r>
      <w:r w:rsidR="00497CFC">
        <w:t xml:space="preserve"> anche nel più lungo termine</w:t>
      </w:r>
      <w:r>
        <w:t>,</w:t>
      </w:r>
      <w:r w:rsidR="00497CFC">
        <w:t xml:space="preserve"> </w:t>
      </w:r>
      <w:r>
        <w:t>dello share modale</w:t>
      </w:r>
      <w:r w:rsidR="00497CFC">
        <w:t xml:space="preserve">, </w:t>
      </w:r>
      <w:r w:rsidR="008D15FC">
        <w:t xml:space="preserve">evitando la </w:t>
      </w:r>
      <w:r>
        <w:t>cronicizzazione</w:t>
      </w:r>
      <w:r w:rsidR="00497CFC">
        <w:t xml:space="preserve"> </w:t>
      </w:r>
      <w:r>
        <w:t xml:space="preserve">di </w:t>
      </w:r>
      <w:r w:rsidR="00497CFC">
        <w:t>comportamenti immediati poco virtuosi</w:t>
      </w:r>
      <w:r>
        <w:t>, ancorché</w:t>
      </w:r>
      <w:r w:rsidR="00497CFC">
        <w:t xml:space="preserve"> dettati da paure e difficoltà oggettive.</w:t>
      </w:r>
    </w:p>
    <w:p w14:paraId="39160E0E" w14:textId="77777777" w:rsidR="00911DAC" w:rsidRDefault="00497CFC" w:rsidP="00911DAC">
      <w:pPr>
        <w:jc w:val="both"/>
      </w:pPr>
      <w:r>
        <w:t>Le soluzioni possono essere ricercate a diversi livelli e con azioni, adeguatamente armonizzate, finalizzate a:</w:t>
      </w:r>
    </w:p>
    <w:p w14:paraId="1E25FD9D" w14:textId="77777777" w:rsidR="00497CFC" w:rsidRDefault="00497CFC" w:rsidP="00497CFC">
      <w:pPr>
        <w:pStyle w:val="Paragrafoelenco"/>
        <w:numPr>
          <w:ilvl w:val="0"/>
          <w:numId w:val="5"/>
        </w:numPr>
        <w:jc w:val="both"/>
      </w:pPr>
      <w:r>
        <w:t xml:space="preserve">definire il quadro delle regole/prescrizioni </w:t>
      </w:r>
      <w:r w:rsidR="004965D7">
        <w:t>da adottare per una operatività e fruizione oggettivamente e soggettivamente sicura del trasporto pubblico;</w:t>
      </w:r>
    </w:p>
    <w:p w14:paraId="327F314D" w14:textId="77777777" w:rsidR="004965D7" w:rsidRDefault="004965D7" w:rsidP="00497CFC">
      <w:pPr>
        <w:pStyle w:val="Paragrafoelenco"/>
        <w:numPr>
          <w:ilvl w:val="0"/>
          <w:numId w:val="5"/>
        </w:numPr>
        <w:jc w:val="both"/>
      </w:pPr>
      <w:r>
        <w:t xml:space="preserve">regolare la domanda di mobilità e quindi la pressione esercitata sul sistema </w:t>
      </w:r>
      <w:r w:rsidR="0077133C">
        <w:t xml:space="preserve">complessivo </w:t>
      </w:r>
      <w:r>
        <w:t>dei trasporti, adottando</w:t>
      </w:r>
      <w:r w:rsidR="00F55A10">
        <w:t xml:space="preserve"> anche</w:t>
      </w:r>
      <w:r>
        <w:t xml:space="preserve"> misure di razionalizzazione delle attività che riducano il più possibile </w:t>
      </w:r>
      <w:r w:rsidR="0077133C">
        <w:t>gli</w:t>
      </w:r>
      <w:r>
        <w:t xml:space="preserve"> spostament</w:t>
      </w:r>
      <w:r w:rsidR="0077133C">
        <w:t>i</w:t>
      </w:r>
      <w:r>
        <w:t xml:space="preserve"> sostituibili e distribuiscano </w:t>
      </w:r>
      <w:r w:rsidR="00F55A10">
        <w:t xml:space="preserve">nell’arco della giornata </w:t>
      </w:r>
      <w:r>
        <w:t xml:space="preserve">gli orari </w:t>
      </w:r>
      <w:r w:rsidR="0077133C">
        <w:t>di quelli</w:t>
      </w:r>
      <w:r>
        <w:t xml:space="preserve"> necessari;</w:t>
      </w:r>
    </w:p>
    <w:p w14:paraId="54931277" w14:textId="77777777" w:rsidR="004965D7" w:rsidRDefault="004965D7" w:rsidP="00497CFC">
      <w:pPr>
        <w:pStyle w:val="Paragrafoelenco"/>
        <w:numPr>
          <w:ilvl w:val="0"/>
          <w:numId w:val="5"/>
        </w:numPr>
        <w:jc w:val="both"/>
      </w:pPr>
      <w:r>
        <w:t>supportare il recupero di efficienza dei sistemi di trasporto pubblico</w:t>
      </w:r>
      <w:r w:rsidR="006A3348">
        <w:t>,</w:t>
      </w:r>
      <w:r>
        <w:t xml:space="preserve"> </w:t>
      </w:r>
      <w:r w:rsidR="00EA576F">
        <w:t>che hanno il duplice obiettivo di riguadagnare,</w:t>
      </w:r>
      <w:r>
        <w:t xml:space="preserve"> almeno parzialmente</w:t>
      </w:r>
      <w:r w:rsidR="00EA576F">
        <w:t>,</w:t>
      </w:r>
      <w:r>
        <w:t xml:space="preserve"> la perdita di capienza d</w:t>
      </w:r>
      <w:r w:rsidR="00EA576F">
        <w:t>ovuta al distanziamento sanitario e di regolare</w:t>
      </w:r>
      <w:r w:rsidR="00EA576F" w:rsidRPr="00EA576F">
        <w:t xml:space="preserve"> </w:t>
      </w:r>
      <w:r w:rsidR="00EA576F">
        <w:t>l’accesso ai mezzi ed alle fermate/stazioni/banchine.</w:t>
      </w:r>
    </w:p>
    <w:p w14:paraId="2938419D" w14:textId="77777777" w:rsidR="00B64794" w:rsidRDefault="00B64794" w:rsidP="00B64794">
      <w:pPr>
        <w:jc w:val="both"/>
      </w:pPr>
      <w:r>
        <w:t xml:space="preserve">L’ultimo punto ha particolari ricadute in termini di organizzazione e riconfigurazione dei servizi (modifica dei percorsi delle linee, degli orari, delle frequenze), ma ha anche notevoli implicazioni in termini di sistemi tecnologici e di interazione da un lato con le piattaforme aziendali e dall’altro con gli utenti dei servizi (controllo del grado di affollamento, abilitazione dinamica dell’accesso ai mezzi ed alle fermate/stazioni/banchine, interazione con i sistemi di localizzazione dei mezzi e informazione dinamica agli utenti sulle condizioni di accesso, possibilmente con reindirizzamento nel tempo e nello spazio, </w:t>
      </w:r>
      <w:r w:rsidR="006A3348">
        <w:t xml:space="preserve">abilitazione di </w:t>
      </w:r>
      <w:r>
        <w:t>modalità di trasporto integrate/integrative, ecc.).</w:t>
      </w:r>
    </w:p>
    <w:p w14:paraId="6E39EA77" w14:textId="77777777" w:rsidR="00F55A10" w:rsidRDefault="00F55A10" w:rsidP="00B64794">
      <w:pPr>
        <w:jc w:val="both"/>
      </w:pPr>
    </w:p>
    <w:p w14:paraId="3EE4CD8B" w14:textId="77777777" w:rsidR="00586841" w:rsidRPr="00586841" w:rsidRDefault="00F52420" w:rsidP="00586841">
      <w:pPr>
        <w:pStyle w:val="Paragrafoelenco"/>
        <w:numPr>
          <w:ilvl w:val="0"/>
          <w:numId w:val="1"/>
        </w:numPr>
        <w:jc w:val="both"/>
        <w:rPr>
          <w:b/>
          <w:sz w:val="24"/>
        </w:rPr>
      </w:pPr>
      <w:bookmarkStart w:id="0" w:name="OLE_LINK7"/>
      <w:bookmarkStart w:id="1" w:name="OLE_LINK8"/>
      <w:r>
        <w:rPr>
          <w:b/>
          <w:sz w:val="24"/>
        </w:rPr>
        <w:lastRenderedPageBreak/>
        <w:t>Obiettivi s</w:t>
      </w:r>
      <w:r w:rsidR="00E9399F">
        <w:rPr>
          <w:b/>
          <w:sz w:val="24"/>
        </w:rPr>
        <w:t>trategici</w:t>
      </w:r>
      <w:r>
        <w:rPr>
          <w:b/>
          <w:sz w:val="24"/>
        </w:rPr>
        <w:t xml:space="preserve"> dell’attività </w:t>
      </w:r>
      <w:r w:rsidRPr="0038745D">
        <w:rPr>
          <w:b/>
          <w:sz w:val="24"/>
        </w:rPr>
        <w:t>dell’</w:t>
      </w:r>
      <w:r w:rsidR="0038745D">
        <w:rPr>
          <w:b/>
          <w:sz w:val="24"/>
        </w:rPr>
        <w:t>O</w:t>
      </w:r>
      <w:r w:rsidRPr="0038745D">
        <w:rPr>
          <w:b/>
          <w:sz w:val="24"/>
        </w:rPr>
        <w:t xml:space="preserve">sservatorio </w:t>
      </w:r>
      <w:r w:rsidR="0038745D">
        <w:rPr>
          <w:b/>
          <w:sz w:val="24"/>
        </w:rPr>
        <w:t xml:space="preserve">Smart Road </w:t>
      </w:r>
      <w:r w:rsidRPr="0038745D">
        <w:rPr>
          <w:b/>
          <w:sz w:val="24"/>
        </w:rPr>
        <w:t xml:space="preserve">e </w:t>
      </w:r>
      <w:r w:rsidR="00E9399F" w:rsidRPr="0038745D">
        <w:rPr>
          <w:b/>
          <w:sz w:val="24"/>
        </w:rPr>
        <w:t>metodologia</w:t>
      </w:r>
      <w:r w:rsidR="00E9399F">
        <w:rPr>
          <w:b/>
          <w:sz w:val="24"/>
        </w:rPr>
        <w:t xml:space="preserve"> di azione</w:t>
      </w:r>
    </w:p>
    <w:bookmarkEnd w:id="0"/>
    <w:bookmarkEnd w:id="1"/>
    <w:p w14:paraId="6AAE2024" w14:textId="77777777" w:rsidR="00141C80" w:rsidRDefault="00141C80" w:rsidP="00EA576F">
      <w:pPr>
        <w:jc w:val="both"/>
      </w:pPr>
      <w:r>
        <w:t>Allo stato attuale</w:t>
      </w:r>
      <w:r w:rsidR="006A3348">
        <w:t>,</w:t>
      </w:r>
      <w:r>
        <w:t xml:space="preserve"> le aziende di trasporto pubblico non risultano</w:t>
      </w:r>
      <w:r w:rsidR="006A3348">
        <w:t>, in generale,</w:t>
      </w:r>
      <w:r>
        <w:t xml:space="preserve"> adeguatamente attrezzate per implementare tutte le tecnologie richieste, anche in considerazione dei </w:t>
      </w:r>
      <w:r w:rsidR="00B64794">
        <w:t>nuovi requisiti</w:t>
      </w:r>
      <w:r>
        <w:t xml:space="preserve"> che la particolare situazione determina. Anche le piattaforme </w:t>
      </w:r>
      <w:r w:rsidR="00586841">
        <w:t xml:space="preserve">aziendali </w:t>
      </w:r>
      <w:r>
        <w:t xml:space="preserve">tecnologiche più avanzate hanno una visione più orientata al servizio </w:t>
      </w:r>
      <w:r w:rsidR="00B64794">
        <w:t>ed alla sua gestione ottima in condizioni ordinarie</w:t>
      </w:r>
      <w:r w:rsidR="006A3348">
        <w:t>,</w:t>
      </w:r>
      <w:r w:rsidR="00B64794">
        <w:t xml:space="preserve"> </w:t>
      </w:r>
      <w:r w:rsidR="006A3348">
        <w:t xml:space="preserve">meno </w:t>
      </w:r>
      <w:r>
        <w:t xml:space="preserve">alla interazione dinamica </w:t>
      </w:r>
      <w:r w:rsidR="00F52420">
        <w:t>e</w:t>
      </w:r>
      <w:r>
        <w:t xml:space="preserve"> </w:t>
      </w:r>
      <w:r w:rsidR="00E34159">
        <w:t>adattiva</w:t>
      </w:r>
      <w:r>
        <w:t xml:space="preserve"> con gli utenti</w:t>
      </w:r>
      <w:r w:rsidR="00586841">
        <w:t xml:space="preserve"> o al controllo delle regole e misure necessarie in questa fase</w:t>
      </w:r>
      <w:r>
        <w:t>.</w:t>
      </w:r>
    </w:p>
    <w:p w14:paraId="3513EC55" w14:textId="77777777" w:rsidR="00586841" w:rsidRDefault="00141C80" w:rsidP="00EA576F">
      <w:pPr>
        <w:jc w:val="both"/>
      </w:pPr>
      <w:r>
        <w:t xml:space="preserve">D’altro lato, le azioni </w:t>
      </w:r>
      <w:r w:rsidR="0038745D">
        <w:t xml:space="preserve">messe </w:t>
      </w:r>
      <w:r w:rsidRPr="0038745D">
        <w:t xml:space="preserve">in atto </w:t>
      </w:r>
      <w:r w:rsidR="0038745D">
        <w:t xml:space="preserve">dal </w:t>
      </w:r>
      <w:r w:rsidRPr="0038745D">
        <w:t xml:space="preserve">Ministro </w:t>
      </w:r>
      <w:r w:rsidR="0038745D">
        <w:t>per l’</w:t>
      </w:r>
      <w:r w:rsidRPr="0038745D">
        <w:t xml:space="preserve">Innovazione tecnologica e </w:t>
      </w:r>
      <w:r w:rsidR="0038745D">
        <w:t>la d</w:t>
      </w:r>
      <w:r w:rsidRPr="0038745D">
        <w:t>igitalizzazione (MID)</w:t>
      </w:r>
      <w:r>
        <w:t xml:space="preserve"> </w:t>
      </w:r>
      <w:r w:rsidR="0038745D">
        <w:t xml:space="preserve">e dalla task force all’uopo istituita, </w:t>
      </w:r>
      <w:r w:rsidR="0077133C">
        <w:t>tendono a</w:t>
      </w:r>
      <w:r>
        <w:t xml:space="preserve"> sviluppare un quadro di riferimento nazionale orientato alla interazione tecnologica dei cittadini</w:t>
      </w:r>
      <w:r w:rsidR="00E34159">
        <w:t>,</w:t>
      </w:r>
      <w:r>
        <w:t xml:space="preserve"> tra loro e con </w:t>
      </w:r>
      <w:r w:rsidR="00586841">
        <w:t>l</w:t>
      </w:r>
      <w:r>
        <w:t>e istituzioni ed i servizi di interesse pubblico</w:t>
      </w:r>
      <w:r w:rsidR="00586841">
        <w:t xml:space="preserve">, il tutto con specifico riferimento ai requisiti ed </w:t>
      </w:r>
      <w:r w:rsidR="0077133C">
        <w:t xml:space="preserve">alle </w:t>
      </w:r>
      <w:r w:rsidR="00586841">
        <w:t xml:space="preserve">esigenze </w:t>
      </w:r>
      <w:r w:rsidR="0077133C">
        <w:t xml:space="preserve">collegate con </w:t>
      </w:r>
      <w:r w:rsidR="00586841">
        <w:t xml:space="preserve">il distanziamento e l’interazione interpersonale e </w:t>
      </w:r>
      <w:r w:rsidR="0077133C">
        <w:t>con il supporto a</w:t>
      </w:r>
      <w:r w:rsidR="00586841">
        <w:t xml:space="preserve"> comportamenti sociali consapevoli ed appropriati.</w:t>
      </w:r>
    </w:p>
    <w:p w14:paraId="585E37E4" w14:textId="77777777" w:rsidR="004D0BB5" w:rsidRDefault="00141C80" w:rsidP="00EA576F">
      <w:pPr>
        <w:jc w:val="both"/>
      </w:pPr>
      <w:r w:rsidRPr="0038745D">
        <w:t>L’</w:t>
      </w:r>
      <w:r w:rsidR="0038745D">
        <w:t>O</w:t>
      </w:r>
      <w:r w:rsidRPr="0038745D">
        <w:t xml:space="preserve">sservatorio </w:t>
      </w:r>
      <w:r w:rsidR="0038745D">
        <w:t xml:space="preserve">tecnico </w:t>
      </w:r>
      <w:r w:rsidR="0038745D" w:rsidRPr="00E841C9">
        <w:t xml:space="preserve">di supporto per le Smart Road e per il veicolo connesso e a guida automatica, istituito presso il MIT </w:t>
      </w:r>
      <w:r w:rsidR="006A3348">
        <w:t xml:space="preserve">con </w:t>
      </w:r>
      <w:r w:rsidR="0038745D" w:rsidRPr="00E841C9">
        <w:t>decreto del Ministro delle infrastrutture e dei trasporti del 28 febbraio, n. 70</w:t>
      </w:r>
      <w:r w:rsidR="0038745D">
        <w:t xml:space="preserve"> </w:t>
      </w:r>
      <w:r w:rsidRPr="0038745D">
        <w:t>si</w:t>
      </w:r>
      <w:r>
        <w:t xml:space="preserve"> propone</w:t>
      </w:r>
      <w:r w:rsidR="00586841">
        <w:t xml:space="preserve">, con riferimento </w:t>
      </w:r>
      <w:r w:rsidR="00E34159">
        <w:t>al dominio della</w:t>
      </w:r>
      <w:r w:rsidR="00586841">
        <w:t xml:space="preserve"> mobilità,</w:t>
      </w:r>
      <w:r>
        <w:t xml:space="preserve"> </w:t>
      </w:r>
      <w:r w:rsidR="004D0BB5">
        <w:t>quale “</w:t>
      </w:r>
      <w:r>
        <w:t>cerniera</w:t>
      </w:r>
      <w:r w:rsidR="004D0BB5">
        <w:t>”</w:t>
      </w:r>
      <w:r>
        <w:t xml:space="preserve"> tra </w:t>
      </w:r>
      <w:r w:rsidR="00586841">
        <w:t>MID, MIT e</w:t>
      </w:r>
      <w:r w:rsidR="00E34159">
        <w:t>d</w:t>
      </w:r>
      <w:r w:rsidR="00586841">
        <w:t xml:space="preserve"> altri centri di azione e, in particolare, è </w:t>
      </w:r>
      <w:r w:rsidR="00E34159">
        <w:t>pronto a</w:t>
      </w:r>
      <w:r w:rsidR="00586841">
        <w:t xml:space="preserve"> specificare esigenze e contribuire alla ricerca di soluzioni, </w:t>
      </w:r>
      <w:r w:rsidR="00E34159">
        <w:t>il tutto con un approccio finalizzato alla massima efficacia e concretezza</w:t>
      </w:r>
      <w:r w:rsidR="008D15FC">
        <w:t xml:space="preserve">. L’obiettivo si raggiungerà attraverso il rapporto </w:t>
      </w:r>
      <w:r w:rsidR="00E34159">
        <w:t xml:space="preserve">con i soggetti attuatori e </w:t>
      </w:r>
      <w:r w:rsidR="008D15FC">
        <w:t xml:space="preserve">la </w:t>
      </w:r>
      <w:r w:rsidR="00E34159">
        <w:t>realizza</w:t>
      </w:r>
      <w:r w:rsidR="008D15FC">
        <w:t xml:space="preserve">zione di </w:t>
      </w:r>
      <w:r w:rsidR="00586841">
        <w:t>azioni pilota di sperimentazione</w:t>
      </w:r>
      <w:r w:rsidR="004D0BB5">
        <w:t>,</w:t>
      </w:r>
      <w:r w:rsidR="00586841">
        <w:t xml:space="preserve"> c</w:t>
      </w:r>
      <w:r w:rsidR="008D15FC">
        <w:t xml:space="preserve">apaci di </w:t>
      </w:r>
      <w:r w:rsidR="00E34159">
        <w:t>aiut</w:t>
      </w:r>
      <w:r w:rsidR="008D15FC">
        <w:t>are l’</w:t>
      </w:r>
      <w:r w:rsidR="00E34159">
        <w:t xml:space="preserve">identificazione e </w:t>
      </w:r>
      <w:r w:rsidR="008D15FC">
        <w:t xml:space="preserve">la messa in campo </w:t>
      </w:r>
      <w:r w:rsidR="00E34159">
        <w:t>delle soluzioni tecnologiche più adatte a supportare la riorganizzazione dei servi</w:t>
      </w:r>
      <w:r w:rsidR="00B64794">
        <w:t>z</w:t>
      </w:r>
      <w:r w:rsidR="00E34159">
        <w:t>i di trasporto collettivo e de</w:t>
      </w:r>
      <w:r w:rsidR="00B64794">
        <w:t>lla mobilità</w:t>
      </w:r>
      <w:r w:rsidR="00E34159">
        <w:t xml:space="preserve"> </w:t>
      </w:r>
      <w:r w:rsidR="00B64794">
        <w:t>più in generale</w:t>
      </w:r>
      <w:r w:rsidR="00E34159">
        <w:t>.</w:t>
      </w:r>
      <w:r w:rsidR="0077133C">
        <w:t xml:space="preserve"> </w:t>
      </w:r>
    </w:p>
    <w:p w14:paraId="31931CD1" w14:textId="77777777" w:rsidR="00B64794" w:rsidRDefault="008D15FC" w:rsidP="00084B88">
      <w:pPr>
        <w:spacing w:after="120"/>
        <w:jc w:val="both"/>
      </w:pPr>
      <w:r>
        <w:t xml:space="preserve">Il quadro concettuale riportato nella figura fa da riferimento per </w:t>
      </w:r>
      <w:r w:rsidRPr="0038745D">
        <w:t>l’</w:t>
      </w:r>
      <w:r w:rsidR="00B64794" w:rsidRPr="0038745D">
        <w:t>azione dell’</w:t>
      </w:r>
      <w:r w:rsidR="0038745D">
        <w:t>O</w:t>
      </w:r>
      <w:r w:rsidR="00B64794" w:rsidRPr="0038745D">
        <w:t>sservatorio</w:t>
      </w:r>
      <w:r w:rsidRPr="0038745D">
        <w:t>.</w:t>
      </w:r>
    </w:p>
    <w:p w14:paraId="73C5427B" w14:textId="77777777" w:rsidR="00F55A10" w:rsidRDefault="00921BED" w:rsidP="00EA576F">
      <w:pPr>
        <w:jc w:val="both"/>
      </w:pPr>
      <w:r>
        <w:rPr>
          <w:noProof/>
          <w:lang w:eastAsia="it-IT"/>
        </w:rPr>
        <w:drawing>
          <wp:inline distT="0" distB="0" distL="0" distR="0" wp14:anchorId="6C11F5C9" wp14:editId="080F00C1">
            <wp:extent cx="6120130" cy="4171315"/>
            <wp:effectExtent l="0" t="0" r="1270" b="0"/>
            <wp:docPr id="2" name="Immagine 2" descr="Immagine che contiene segnale, parcheggio, metro, scher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sioneNewTPL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4709A" w14:textId="77777777" w:rsidR="00B64794" w:rsidRPr="00555CE2" w:rsidRDefault="00B64794" w:rsidP="00B64794">
      <w:pPr>
        <w:jc w:val="center"/>
        <w:rPr>
          <w:sz w:val="16"/>
        </w:rPr>
      </w:pPr>
      <w:r>
        <w:rPr>
          <w:sz w:val="16"/>
        </w:rPr>
        <w:t xml:space="preserve">Fig. 1 - </w:t>
      </w:r>
      <w:r w:rsidRPr="00555CE2">
        <w:rPr>
          <w:sz w:val="16"/>
        </w:rPr>
        <w:t>Mappa della mobilità e relativi task su cui intervenire</w:t>
      </w:r>
    </w:p>
    <w:p w14:paraId="66B0B0F7" w14:textId="77777777" w:rsidR="00B64794" w:rsidRDefault="00B64794" w:rsidP="00EA576F">
      <w:pPr>
        <w:jc w:val="both"/>
      </w:pPr>
    </w:p>
    <w:p w14:paraId="2381D8A9" w14:textId="77777777" w:rsidR="00F52420" w:rsidRDefault="00916E7C" w:rsidP="00EA576F">
      <w:pPr>
        <w:jc w:val="both"/>
      </w:pPr>
      <w:r>
        <w:t xml:space="preserve">Gli obiettivi </w:t>
      </w:r>
      <w:r w:rsidRPr="0038745D">
        <w:t>spe</w:t>
      </w:r>
      <w:r w:rsidR="0038745D">
        <w:t>cifici dell’O</w:t>
      </w:r>
      <w:r w:rsidR="008D15FC" w:rsidRPr="0038745D">
        <w:t>sservatorio sono</w:t>
      </w:r>
      <w:r>
        <w:t>:</w:t>
      </w:r>
    </w:p>
    <w:p w14:paraId="47619892" w14:textId="77777777" w:rsidR="00916E7C" w:rsidRDefault="00916E7C" w:rsidP="00916E7C">
      <w:pPr>
        <w:pStyle w:val="Paragrafoelenco"/>
        <w:numPr>
          <w:ilvl w:val="0"/>
          <w:numId w:val="4"/>
        </w:numPr>
        <w:jc w:val="both"/>
      </w:pPr>
      <w:r>
        <w:t>supportare i soggetti istituzionali</w:t>
      </w:r>
      <w:r w:rsidR="004A3413">
        <w:t>,</w:t>
      </w:r>
      <w:r>
        <w:t xml:space="preserve"> che si stanno occupando delle tecnologie da applicare alla </w:t>
      </w:r>
      <w:r w:rsidR="00BE3608">
        <w:t>“</w:t>
      </w:r>
      <w:r>
        <w:t>Fase 2</w:t>
      </w:r>
      <w:r w:rsidR="00BE3608">
        <w:t>”</w:t>
      </w:r>
      <w:r w:rsidR="004A3413">
        <w:t>,</w:t>
      </w:r>
      <w:r>
        <w:t xml:space="preserve"> nell’identificazione di opportunità e requisiti legati al mondo della mobilità, con particolare ma non esclusivo riferimento al sistema del trasporto pubblico;</w:t>
      </w:r>
    </w:p>
    <w:p w14:paraId="0626F654" w14:textId="77777777" w:rsidR="00916E7C" w:rsidRDefault="00916E7C" w:rsidP="00916E7C">
      <w:pPr>
        <w:pStyle w:val="Paragrafoelenco"/>
        <w:numPr>
          <w:ilvl w:val="0"/>
          <w:numId w:val="4"/>
        </w:numPr>
        <w:jc w:val="both"/>
      </w:pPr>
      <w:r>
        <w:t>supportare il sistema del trasporto pubblico</w:t>
      </w:r>
      <w:r w:rsidR="00627CB2">
        <w:t xml:space="preserve">, e più in generale gli attori del sistema della mobilità, </w:t>
      </w:r>
      <w:r>
        <w:t>nell</w:t>
      </w:r>
      <w:r w:rsidR="00627CB2">
        <w:t>’</w:t>
      </w:r>
      <w:r>
        <w:t xml:space="preserve">adozione di soluzioni tecnologiche abilitanti per la gestione </w:t>
      </w:r>
      <w:r w:rsidR="00627CB2">
        <w:t>delle problematiche collegate alla ripresa delle attività economiche e produttive della Fase 2;</w:t>
      </w:r>
    </w:p>
    <w:p w14:paraId="1FC4AD77" w14:textId="77777777" w:rsidR="00A34962" w:rsidRDefault="00A34962" w:rsidP="00A34962">
      <w:pPr>
        <w:pStyle w:val="Paragrafoelenco"/>
        <w:numPr>
          <w:ilvl w:val="0"/>
          <w:numId w:val="4"/>
        </w:numPr>
        <w:jc w:val="both"/>
      </w:pPr>
      <w:r>
        <w:t xml:space="preserve">migliorare l’esperienza di viaggio e mobilità degli utenti nella </w:t>
      </w:r>
      <w:r w:rsidR="00BE3608">
        <w:t>“</w:t>
      </w:r>
      <w:r>
        <w:t>Fase 2</w:t>
      </w:r>
      <w:r w:rsidR="00BE3608">
        <w:t>”</w:t>
      </w:r>
      <w:r w:rsidR="0035421B">
        <w:t xml:space="preserve"> e nel periodo a seguire</w:t>
      </w:r>
      <w:r>
        <w:t>;</w:t>
      </w:r>
    </w:p>
    <w:p w14:paraId="573F6381" w14:textId="77777777" w:rsidR="00D17333" w:rsidRDefault="00A34962" w:rsidP="00D17333">
      <w:pPr>
        <w:pStyle w:val="Paragrafoelenco"/>
        <w:numPr>
          <w:ilvl w:val="0"/>
          <w:numId w:val="4"/>
        </w:numPr>
        <w:jc w:val="both"/>
      </w:pPr>
      <w:r>
        <w:t>contribuire al recupero, almeno parziale, dell’efficienza del sistema di trasporto, compromessa dalle necessarie regole di distanziamento interpersonale e di sicurezza sanitaria;</w:t>
      </w:r>
    </w:p>
    <w:p w14:paraId="35D92B53" w14:textId="77777777" w:rsidR="00916E7C" w:rsidRDefault="00916E7C" w:rsidP="00916E7C">
      <w:pPr>
        <w:pStyle w:val="Paragrafoelenco"/>
        <w:numPr>
          <w:ilvl w:val="0"/>
          <w:numId w:val="4"/>
        </w:numPr>
        <w:jc w:val="both"/>
      </w:pPr>
      <w:r>
        <w:t>scongiurare il pericolo d</w:t>
      </w:r>
      <w:r w:rsidR="00627CB2">
        <w:t>el proliferare di</w:t>
      </w:r>
      <w:r>
        <w:t xml:space="preserve"> soluzioni </w:t>
      </w:r>
      <w:r w:rsidR="00627CB2">
        <w:t>disomogenee, non interoperabili, incoerenti con le soluzioni nazionali adottate per il distanziamento e l’interazione interpersonale e per il supporto a comportamenti sociali consapevoli ed appropriati;</w:t>
      </w:r>
    </w:p>
    <w:p w14:paraId="675FD25C" w14:textId="77777777" w:rsidR="00D17333" w:rsidRDefault="00722207" w:rsidP="00916E7C">
      <w:pPr>
        <w:pStyle w:val="Paragrafoelenco"/>
        <w:numPr>
          <w:ilvl w:val="0"/>
          <w:numId w:val="4"/>
        </w:numPr>
        <w:jc w:val="both"/>
      </w:pPr>
      <w:r>
        <w:t xml:space="preserve">armonizzare e coordinare le iniziative </w:t>
      </w:r>
      <w:r w:rsidR="00D17333">
        <w:t>evita</w:t>
      </w:r>
      <w:r>
        <w:t xml:space="preserve">ndo </w:t>
      </w:r>
      <w:r w:rsidR="00D17333">
        <w:t>un’inutile dispersione di energie e risorse economiche;</w:t>
      </w:r>
    </w:p>
    <w:p w14:paraId="62161100" w14:textId="77777777" w:rsidR="00627CB2" w:rsidRDefault="00627CB2" w:rsidP="00627CB2">
      <w:pPr>
        <w:pStyle w:val="Paragrafoelenco"/>
        <w:numPr>
          <w:ilvl w:val="0"/>
          <w:numId w:val="4"/>
        </w:numPr>
        <w:jc w:val="both"/>
      </w:pPr>
      <w:r>
        <w:t>favorire lo sviluppo di soluzioni in un contesto tecnologico aperto ed in un mercato competitivo, ove possibile favorendo il ricorso ad approcci orientati al riuso;</w:t>
      </w:r>
    </w:p>
    <w:p w14:paraId="03971754" w14:textId="77777777" w:rsidR="00A34962" w:rsidRDefault="00A34962" w:rsidP="00916E7C">
      <w:pPr>
        <w:pStyle w:val="Paragrafoelenco"/>
        <w:numPr>
          <w:ilvl w:val="0"/>
          <w:numId w:val="4"/>
        </w:numPr>
        <w:jc w:val="both"/>
      </w:pPr>
      <w:r>
        <w:t>favorire l’integrazione del trasporto collettivo di linea con sistemi di mobilità integrativi, anche innovativi, in un</w:t>
      </w:r>
      <w:r w:rsidR="004A3413">
        <w:t>‘</w:t>
      </w:r>
      <w:r>
        <w:t>ottica di reale intermodalità;</w:t>
      </w:r>
    </w:p>
    <w:p w14:paraId="56669B53" w14:textId="77777777" w:rsidR="00A34962" w:rsidRDefault="00A34962" w:rsidP="00A34962">
      <w:pPr>
        <w:pStyle w:val="Paragrafoelenco"/>
        <w:numPr>
          <w:ilvl w:val="0"/>
          <w:numId w:val="4"/>
        </w:numPr>
        <w:jc w:val="both"/>
      </w:pPr>
      <w:r>
        <w:t>assicurare che le soluzioni adottate possano consolidarsi a lungo termine e contribuire ad una modifica dei paradigmi applicati al trasporto collettivo</w:t>
      </w:r>
      <w:r w:rsidR="004A3413">
        <w:t xml:space="preserve"> (realizzando i processi di digitalizzazione, abilitanti una vera trasformazione digitale)</w:t>
      </w:r>
      <w:r>
        <w:t>, favorendone la riconoscibilità come servizio di qualità e incrementando l’efficienza complessiva del sistema di trasporto.</w:t>
      </w:r>
    </w:p>
    <w:p w14:paraId="3961A6A1" w14:textId="77777777" w:rsidR="00916E7C" w:rsidRDefault="00916E7C" w:rsidP="00916E7C">
      <w:pPr>
        <w:jc w:val="both"/>
      </w:pPr>
      <w:r>
        <w:t xml:space="preserve">L’accompagnamento tecnologico </w:t>
      </w:r>
      <w:r w:rsidR="00A34962">
        <w:t>alla</w:t>
      </w:r>
      <w:r>
        <w:t xml:space="preserve"> riorganizzazione dell’offerta di trasporto permett</w:t>
      </w:r>
      <w:r w:rsidR="00A34962">
        <w:t>e</w:t>
      </w:r>
      <w:r>
        <w:t xml:space="preserve"> anche di verificare la efficienza ed applicabilità delle prescrizioni e delle linee guida per la sicurezza sanitaria nei trasporti, nonché di contribuire a fare luce sulle </w:t>
      </w:r>
      <w:r w:rsidR="00A34962">
        <w:t>opportunità di supporto economico al sistema complessivo di trasporto, anche con riferimento a contributi alla</w:t>
      </w:r>
      <w:r>
        <w:t xml:space="preserve"> </w:t>
      </w:r>
      <w:proofErr w:type="spellStart"/>
      <w:r>
        <w:t>micromobilità</w:t>
      </w:r>
      <w:proofErr w:type="spellEnd"/>
      <w:r w:rsidR="00A34962">
        <w:t>, purché integrati in una visione complessiva della mobilità</w:t>
      </w:r>
      <w:r>
        <w:t>.</w:t>
      </w:r>
    </w:p>
    <w:p w14:paraId="72424268" w14:textId="77777777" w:rsidR="00916E7C" w:rsidRDefault="00F26FAA" w:rsidP="00916E7C">
      <w:pPr>
        <w:jc w:val="both"/>
      </w:pPr>
      <w:r>
        <w:t>L’</w:t>
      </w:r>
      <w:r w:rsidR="00722207">
        <w:t>O</w:t>
      </w:r>
      <w:r>
        <w:t>sservatorio intende avvalersi delle azioni già in atto, non solo con riferimento al livello istituzionale del MID, del MIT e degli altri attori (MISE, Protezione Civile, Presidenza del Consiglio, ecc.), ma anche con riferimento ad altre iniziative di carattere tecnico-scientifico già in atto</w:t>
      </w:r>
      <w:r w:rsidR="008C1B66">
        <w:t>. In particolare, l’</w:t>
      </w:r>
      <w:r w:rsidR="00722207">
        <w:t>O</w:t>
      </w:r>
      <w:r w:rsidR="008C1B66">
        <w:t>sservatorio intende avvalersi dell’apporto della comunità scientifica del settore della ingegneria dei trasporti, attraverso l’attivazione di una collaborazione istituzionale con la SIDT (Società Italiana Docenti di Trasporti), riconosciuta dal M</w:t>
      </w:r>
      <w:r w:rsidR="004A3413">
        <w:t>I</w:t>
      </w:r>
      <w:r w:rsidR="008C1B66">
        <w:t xml:space="preserve">UR ed unica attiva in tutti gli Atenei italiani. La SIDT ha a sua volta rapporti specifici, proprio con riferimento al supporto metodologico nell’affrontare le problematiche della </w:t>
      </w:r>
      <w:r w:rsidR="00BE3608">
        <w:t>“F</w:t>
      </w:r>
      <w:r w:rsidR="008C1B66">
        <w:t>ase 2</w:t>
      </w:r>
      <w:r w:rsidR="00BE3608">
        <w:t>”</w:t>
      </w:r>
      <w:r w:rsidR="008C1B66">
        <w:t>, con alcune aziende di trasporto pubblico locale, tutte caratterizzate dall’utilizzo di piattaforme tecnologiche aziendali che devono essere adattate e</w:t>
      </w:r>
      <w:r w:rsidR="00722207">
        <w:t>d</w:t>
      </w:r>
      <w:r w:rsidR="008C1B66">
        <w:t xml:space="preserve"> estese per l’utilizzo nelle nuove condizioni di funzionamento ed interazione con l’utenza.</w:t>
      </w:r>
    </w:p>
    <w:p w14:paraId="72FA7A67" w14:textId="77777777" w:rsidR="008C1B66" w:rsidRDefault="008C1B66" w:rsidP="00916E7C">
      <w:pPr>
        <w:jc w:val="both"/>
      </w:pPr>
      <w:r>
        <w:t>L’</w:t>
      </w:r>
      <w:r w:rsidR="00722207">
        <w:t>O</w:t>
      </w:r>
      <w:r>
        <w:t xml:space="preserve">sservatorio intende cooperare con la SIDT (e indirettamente con le aziende </w:t>
      </w:r>
      <w:r w:rsidR="00BE3608">
        <w:t>del TPL</w:t>
      </w:r>
      <w:r w:rsidR="008A30B9">
        <w:t xml:space="preserve"> </w:t>
      </w:r>
      <w:r>
        <w:t xml:space="preserve">in contatto con la SIDT) </w:t>
      </w:r>
      <w:r w:rsidR="00EF7090">
        <w:t xml:space="preserve">allo scopo di realizzare progetti </w:t>
      </w:r>
      <w:r>
        <w:t>pilota</w:t>
      </w:r>
      <w:r w:rsidR="00EF7090">
        <w:t xml:space="preserve">, sperimentazioni e dimostrazioni, </w:t>
      </w:r>
      <w:r>
        <w:t>armonizzate e coerenti con gli stessi obiettivi specifici dell’azione dell’</w:t>
      </w:r>
      <w:r w:rsidR="00722207">
        <w:t>O</w:t>
      </w:r>
      <w:r>
        <w:t>sservatorio. L’esperienza delle sperimentazioni sarà riportata ai tavoli nazionali di azione (MID, MIT e altri) allo scopo di contribuire ad indirizzarne e specializzarne le attività</w:t>
      </w:r>
      <w:r w:rsidR="00EF7090">
        <w:t>.</w:t>
      </w:r>
    </w:p>
    <w:p w14:paraId="0E36AD8B" w14:textId="77777777" w:rsidR="00E9399F" w:rsidRPr="00F97BB8" w:rsidRDefault="00E9399F" w:rsidP="00B15FC7">
      <w:pPr>
        <w:pStyle w:val="Paragrafoelenco"/>
        <w:keepNext/>
        <w:numPr>
          <w:ilvl w:val="0"/>
          <w:numId w:val="1"/>
        </w:numPr>
        <w:ind w:left="714" w:hanging="357"/>
        <w:jc w:val="both"/>
        <w:rPr>
          <w:b/>
          <w:sz w:val="24"/>
          <w:szCs w:val="24"/>
        </w:rPr>
      </w:pPr>
      <w:r w:rsidRPr="00F97BB8">
        <w:rPr>
          <w:b/>
          <w:sz w:val="24"/>
          <w:szCs w:val="24"/>
        </w:rPr>
        <w:lastRenderedPageBreak/>
        <w:t xml:space="preserve">Una “visione” </w:t>
      </w:r>
      <w:r w:rsidR="00F97BB8" w:rsidRPr="00F97BB8">
        <w:rPr>
          <w:b/>
          <w:sz w:val="24"/>
          <w:szCs w:val="24"/>
        </w:rPr>
        <w:t xml:space="preserve">di sistema </w:t>
      </w:r>
    </w:p>
    <w:p w14:paraId="62AC652B" w14:textId="77777777" w:rsidR="00002C9C" w:rsidRDefault="009C5BCE" w:rsidP="00B1387E">
      <w:pPr>
        <w:jc w:val="both"/>
      </w:pPr>
      <w:r>
        <w:t xml:space="preserve">Si è già visto come le soluzioni per il breve e </w:t>
      </w:r>
      <w:r w:rsidR="0070547A">
        <w:t>medio</w:t>
      </w:r>
      <w:r>
        <w:t xml:space="preserve"> termine debbano essere ricercate </w:t>
      </w:r>
      <w:r w:rsidR="00B1387E">
        <w:t xml:space="preserve">nella convergenza di </w:t>
      </w:r>
      <w:r>
        <w:t>azioni che attengono a diversi livel</w:t>
      </w:r>
      <w:r w:rsidR="00B1387E">
        <w:t xml:space="preserve">li </w:t>
      </w:r>
      <w:r w:rsidR="00002C9C">
        <w:t>e</w:t>
      </w:r>
      <w:r w:rsidR="00B1387E">
        <w:t xml:space="preserve"> </w:t>
      </w:r>
      <w:r w:rsidR="00002C9C">
        <w:t xml:space="preserve">includono: </w:t>
      </w:r>
    </w:p>
    <w:p w14:paraId="0AB1FAE4" w14:textId="77777777" w:rsidR="00002C9C" w:rsidRDefault="00002C9C" w:rsidP="00002C9C">
      <w:pPr>
        <w:pStyle w:val="Paragrafoelenco"/>
        <w:numPr>
          <w:ilvl w:val="0"/>
          <w:numId w:val="9"/>
        </w:numPr>
        <w:jc w:val="both"/>
      </w:pPr>
      <w:r>
        <w:t xml:space="preserve">la definizione </w:t>
      </w:r>
      <w:r w:rsidR="009C5BCE">
        <w:t>d</w:t>
      </w:r>
      <w:r>
        <w:t>e</w:t>
      </w:r>
      <w:r w:rsidR="009C5BCE">
        <w:t xml:space="preserve">lle regole </w:t>
      </w:r>
      <w:r w:rsidR="00B1387E">
        <w:t>di comportamento</w:t>
      </w:r>
      <w:r w:rsidR="00190368">
        <w:t>;</w:t>
      </w:r>
    </w:p>
    <w:p w14:paraId="68F2AF41" w14:textId="77777777" w:rsidR="00002C9C" w:rsidRDefault="00002C9C" w:rsidP="00002C9C">
      <w:pPr>
        <w:pStyle w:val="Paragrafoelenco"/>
        <w:numPr>
          <w:ilvl w:val="0"/>
          <w:numId w:val="9"/>
        </w:numPr>
        <w:jc w:val="both"/>
      </w:pPr>
      <w:r>
        <w:t xml:space="preserve">la gestione della domanda </w:t>
      </w:r>
      <w:r w:rsidR="00B1387E">
        <w:t>(</w:t>
      </w:r>
      <w:r w:rsidR="00190368">
        <w:t>per</w:t>
      </w:r>
      <w:r>
        <w:t xml:space="preserve"> </w:t>
      </w:r>
      <w:r w:rsidR="00B1387E">
        <w:t xml:space="preserve">contenerla, mitigare </w:t>
      </w:r>
      <w:r w:rsidR="00190368">
        <w:t>l’esodo</w:t>
      </w:r>
      <w:r w:rsidR="00B1387E">
        <w:t xml:space="preserve"> verso l’auto privata e ridurre i picchi)</w:t>
      </w:r>
      <w:r w:rsidR="00190368">
        <w:t>;</w:t>
      </w:r>
    </w:p>
    <w:p w14:paraId="413A33D2" w14:textId="77777777" w:rsidR="00002C9C" w:rsidRDefault="00002C9C" w:rsidP="00002C9C">
      <w:pPr>
        <w:pStyle w:val="Paragrafoelenco"/>
        <w:numPr>
          <w:ilvl w:val="0"/>
          <w:numId w:val="9"/>
        </w:numPr>
        <w:jc w:val="both"/>
      </w:pPr>
      <w:r>
        <w:t xml:space="preserve">l’aumento di efficienza dell’offerta </w:t>
      </w:r>
      <w:r w:rsidR="00A65375">
        <w:t xml:space="preserve">(con una </w:t>
      </w:r>
      <w:r>
        <w:t>pianificazione adatta alla situazione reale</w:t>
      </w:r>
      <w:r w:rsidR="00A65375">
        <w:t xml:space="preserve"> e una gestione ottimizzata</w:t>
      </w:r>
      <w:r>
        <w:t>)</w:t>
      </w:r>
      <w:r w:rsidR="00190368">
        <w:t>;</w:t>
      </w:r>
    </w:p>
    <w:p w14:paraId="70E2C5A5" w14:textId="77777777" w:rsidR="00002C9C" w:rsidRDefault="00002C9C" w:rsidP="00002C9C">
      <w:pPr>
        <w:pStyle w:val="Paragrafoelenco"/>
        <w:numPr>
          <w:ilvl w:val="0"/>
          <w:numId w:val="9"/>
        </w:numPr>
        <w:jc w:val="both"/>
      </w:pPr>
      <w:r>
        <w:t xml:space="preserve">l’aiuto ai passeggeri nel loro viaggio </w:t>
      </w:r>
      <w:r w:rsidR="00C56014">
        <w:t>rispettoso dell</w:t>
      </w:r>
      <w:r>
        <w:t>e regole (dalla pianificazione all’esecuzione)</w:t>
      </w:r>
      <w:r w:rsidR="00190368">
        <w:t>;</w:t>
      </w:r>
    </w:p>
    <w:p w14:paraId="46C53A49" w14:textId="77777777" w:rsidR="00002C9C" w:rsidRDefault="00002C9C" w:rsidP="00002C9C">
      <w:pPr>
        <w:pStyle w:val="Paragrafoelenco"/>
        <w:numPr>
          <w:ilvl w:val="0"/>
          <w:numId w:val="9"/>
        </w:numPr>
        <w:jc w:val="both"/>
      </w:pPr>
      <w:r>
        <w:t>l’aiuto agli operatori e ai passeggeri per un accesso ai mezzi e alle fermate rispettoso delle regole.</w:t>
      </w:r>
    </w:p>
    <w:p w14:paraId="1759D95D" w14:textId="77777777" w:rsidR="00A65375" w:rsidRDefault="00002C9C" w:rsidP="00002C9C">
      <w:pPr>
        <w:jc w:val="both"/>
      </w:pPr>
      <w:r>
        <w:t xml:space="preserve">I sistemi e servizi oggetto di questa proposta e della conseguente attività dimostrativa </w:t>
      </w:r>
      <w:r w:rsidR="0070547A">
        <w:t xml:space="preserve">guardano alle soluzioni per il breve termine, </w:t>
      </w:r>
      <w:r w:rsidR="00757769">
        <w:t>hanno come obiettivi operativi diretti i punti 4 e 5</w:t>
      </w:r>
      <w:r w:rsidR="00A65375">
        <w:t xml:space="preserve"> e </w:t>
      </w:r>
      <w:r w:rsidR="003F51C4">
        <w:t xml:space="preserve">sono abilitanti per </w:t>
      </w:r>
      <w:r w:rsidR="00A65375">
        <w:t>il punto 3</w:t>
      </w:r>
      <w:r w:rsidR="00757769">
        <w:t>; essi hanno anche interazioni forti con i punti 1</w:t>
      </w:r>
      <w:r w:rsidR="003F51C4">
        <w:t xml:space="preserve"> e </w:t>
      </w:r>
      <w:r w:rsidR="00757769">
        <w:t xml:space="preserve">2, sia perché ne attuano le indicazioni, sia perché contribuiscono al raggiungimento degli obiettivi. </w:t>
      </w:r>
      <w:r w:rsidR="003F51C4">
        <w:t>In estrema sintesi, e</w:t>
      </w:r>
      <w:r w:rsidR="00757769">
        <w:t>ssi, mentre rendono possibile il rispetto delle regole</w:t>
      </w:r>
      <w:r w:rsidR="00722207">
        <w:t>,</w:t>
      </w:r>
      <w:r w:rsidR="00757769">
        <w:t xml:space="preserve"> hanno effetti positivi sia sulla gestione della domanda che sull’efficienza del servizio di trasporto</w:t>
      </w:r>
      <w:r w:rsidR="00A65375">
        <w:t xml:space="preserve">. In concreto, sistemi e servizi </w:t>
      </w:r>
      <w:r w:rsidR="0092359B">
        <w:t xml:space="preserve">di interesse per </w:t>
      </w:r>
      <w:r w:rsidR="00C56014">
        <w:t xml:space="preserve">l’attività proposta </w:t>
      </w:r>
      <w:r w:rsidR="00A65375">
        <w:t>si poss</w:t>
      </w:r>
      <w:r w:rsidR="00FA0580">
        <w:t xml:space="preserve">ono </w:t>
      </w:r>
      <w:r w:rsidR="003F51C4">
        <w:t xml:space="preserve">dividere </w:t>
      </w:r>
      <w:r w:rsidR="00FA0580">
        <w:t>in due gruppi</w:t>
      </w:r>
      <w:r w:rsidR="00A65375">
        <w:t xml:space="preserve">: </w:t>
      </w:r>
    </w:p>
    <w:p w14:paraId="6CF48C44" w14:textId="77777777" w:rsidR="003F51C4" w:rsidRDefault="003F51C4" w:rsidP="003F51C4">
      <w:pPr>
        <w:pStyle w:val="Paragrafoelenco"/>
        <w:numPr>
          <w:ilvl w:val="0"/>
          <w:numId w:val="10"/>
        </w:numPr>
        <w:jc w:val="both"/>
      </w:pPr>
      <w:r>
        <w:t>sistemi di monitoraggio delle presenze sui mezzi e alle fermate (comprese stazioni e banchine), di rilevazione e stima/previsione dell’affollamento, di interazione con conducenti e sistemi aziendali;</w:t>
      </w:r>
    </w:p>
    <w:p w14:paraId="7CB5F17A" w14:textId="77777777" w:rsidR="00701BDA" w:rsidRDefault="00701BDA" w:rsidP="00701BDA">
      <w:pPr>
        <w:pStyle w:val="Paragrafoelenco"/>
        <w:numPr>
          <w:ilvl w:val="0"/>
          <w:numId w:val="10"/>
        </w:numPr>
        <w:jc w:val="both"/>
      </w:pPr>
      <w:r>
        <w:t xml:space="preserve">servizi di </w:t>
      </w:r>
      <w:r w:rsidR="00A94F67">
        <w:t>informazione, pagamento/</w:t>
      </w:r>
      <w:r>
        <w:t xml:space="preserve">prenotazione </w:t>
      </w:r>
      <w:r w:rsidR="00A94F67">
        <w:t xml:space="preserve">e pianificazione del viaggio </w:t>
      </w:r>
      <w:r>
        <w:t>per i passeggeri, integrati con l’indirizzamento alle fermate</w:t>
      </w:r>
      <w:r w:rsidR="00C56014">
        <w:t xml:space="preserve">, </w:t>
      </w:r>
      <w:r w:rsidR="003F51C4">
        <w:t>il controllo d</w:t>
      </w:r>
      <w:r w:rsidR="00C56014">
        <w:t xml:space="preserve">’accesso ai mezzi </w:t>
      </w:r>
      <w:r>
        <w:t xml:space="preserve">e la mitigazione </w:t>
      </w:r>
      <w:r w:rsidR="003F51C4">
        <w:t>dell’affollamento</w:t>
      </w:r>
      <w:r>
        <w:t>.</w:t>
      </w:r>
    </w:p>
    <w:p w14:paraId="6AFDE15C" w14:textId="77777777" w:rsidR="00A94F67" w:rsidRDefault="00A94F67" w:rsidP="00DF1F15">
      <w:pPr>
        <w:jc w:val="both"/>
        <w:rPr>
          <w:lang w:eastAsia="it-IT"/>
        </w:rPr>
      </w:pPr>
      <w:r>
        <w:rPr>
          <w:lang w:eastAsia="it-IT"/>
        </w:rPr>
        <w:t>Tutti i</w:t>
      </w:r>
      <w:r w:rsidR="00701BDA">
        <w:rPr>
          <w:lang w:eastAsia="it-IT"/>
        </w:rPr>
        <w:t xml:space="preserve"> servizi </w:t>
      </w:r>
      <w:r w:rsidR="004A3413">
        <w:rPr>
          <w:lang w:eastAsia="it-IT"/>
        </w:rPr>
        <w:t xml:space="preserve">devono essere </w:t>
      </w:r>
      <w:r w:rsidR="00701BDA">
        <w:rPr>
          <w:lang w:eastAsia="it-IT"/>
        </w:rPr>
        <w:t>realizzati</w:t>
      </w:r>
      <w:r>
        <w:rPr>
          <w:lang w:eastAsia="it-IT"/>
        </w:rPr>
        <w:t xml:space="preserve"> </w:t>
      </w:r>
      <w:r w:rsidR="00701BDA">
        <w:rPr>
          <w:lang w:eastAsia="it-IT"/>
        </w:rPr>
        <w:t>a partire dai servizi aziendali oggi esistenti</w:t>
      </w:r>
      <w:r w:rsidR="004A3413">
        <w:rPr>
          <w:lang w:eastAsia="it-IT"/>
        </w:rPr>
        <w:t xml:space="preserve"> (attivando, se non è stato ancora fatto, i processi di digitalizzazione)</w:t>
      </w:r>
      <w:r>
        <w:rPr>
          <w:lang w:eastAsia="it-IT"/>
        </w:rPr>
        <w:t xml:space="preserve"> ed il sistema complessivo sarà realizzato per integrarsi con le </w:t>
      </w:r>
      <w:r w:rsidR="00DF1F15">
        <w:rPr>
          <w:lang w:eastAsia="it-IT"/>
        </w:rPr>
        <w:t xml:space="preserve">soluzioni </w:t>
      </w:r>
      <w:r>
        <w:rPr>
          <w:lang w:eastAsia="it-IT"/>
        </w:rPr>
        <w:t xml:space="preserve">di livello più generale della </w:t>
      </w:r>
      <w:r w:rsidR="00701BDA">
        <w:rPr>
          <w:lang w:eastAsia="it-IT"/>
        </w:rPr>
        <w:t>app “IO”</w:t>
      </w:r>
      <w:r>
        <w:rPr>
          <w:lang w:eastAsia="it-IT"/>
        </w:rPr>
        <w:t xml:space="preserve"> e con le</w:t>
      </w:r>
      <w:r w:rsidR="00DF1F15">
        <w:rPr>
          <w:lang w:eastAsia="it-IT"/>
        </w:rPr>
        <w:t xml:space="preserve"> funzioni </w:t>
      </w:r>
      <w:r>
        <w:rPr>
          <w:lang w:eastAsia="it-IT"/>
        </w:rPr>
        <w:t>“</w:t>
      </w:r>
      <w:proofErr w:type="spellStart"/>
      <w:r w:rsidR="00DF1F15">
        <w:rPr>
          <w:lang w:eastAsia="it-IT"/>
        </w:rPr>
        <w:t>PagoPA</w:t>
      </w:r>
      <w:proofErr w:type="spellEnd"/>
      <w:r>
        <w:rPr>
          <w:lang w:eastAsia="it-IT"/>
        </w:rPr>
        <w:t>”</w:t>
      </w:r>
      <w:r w:rsidR="00701BDA">
        <w:rPr>
          <w:lang w:eastAsia="it-IT"/>
        </w:rPr>
        <w:t>, in modo da avere un unico punto di accesso per gli utenti</w:t>
      </w:r>
      <w:r w:rsidR="001F5E95">
        <w:rPr>
          <w:lang w:eastAsia="it-IT"/>
        </w:rPr>
        <w:t xml:space="preserve">, </w:t>
      </w:r>
      <w:r w:rsidR="00701BDA">
        <w:rPr>
          <w:lang w:eastAsia="it-IT"/>
        </w:rPr>
        <w:t>utilizz</w:t>
      </w:r>
      <w:r w:rsidR="00DF1F15">
        <w:rPr>
          <w:lang w:eastAsia="it-IT"/>
        </w:rPr>
        <w:t>a</w:t>
      </w:r>
      <w:r w:rsidR="00701BDA">
        <w:rPr>
          <w:lang w:eastAsia="it-IT"/>
        </w:rPr>
        <w:t>r</w:t>
      </w:r>
      <w:r w:rsidR="00DF1F15">
        <w:rPr>
          <w:lang w:eastAsia="it-IT"/>
        </w:rPr>
        <w:t xml:space="preserve">e funzioni di pagamento </w:t>
      </w:r>
      <w:r w:rsidR="00190368">
        <w:rPr>
          <w:lang w:eastAsia="it-IT"/>
        </w:rPr>
        <w:t>a</w:t>
      </w:r>
      <w:r w:rsidR="00DF1F15">
        <w:rPr>
          <w:lang w:eastAsia="it-IT"/>
        </w:rPr>
        <w:t xml:space="preserve"> </w:t>
      </w:r>
      <w:r w:rsidR="00190368">
        <w:rPr>
          <w:lang w:eastAsia="it-IT"/>
        </w:rPr>
        <w:t>valenza</w:t>
      </w:r>
      <w:r w:rsidR="00DF1F15">
        <w:rPr>
          <w:lang w:eastAsia="it-IT"/>
        </w:rPr>
        <w:t xml:space="preserve"> nazionale </w:t>
      </w:r>
      <w:r w:rsidR="00190368">
        <w:rPr>
          <w:lang w:eastAsia="it-IT"/>
        </w:rPr>
        <w:t xml:space="preserve">e </w:t>
      </w:r>
      <w:r w:rsidR="00701BDA">
        <w:rPr>
          <w:lang w:eastAsia="it-IT"/>
        </w:rPr>
        <w:t xml:space="preserve">concorrere alla </w:t>
      </w:r>
      <w:r w:rsidR="00DF1F15">
        <w:rPr>
          <w:lang w:eastAsia="it-IT"/>
        </w:rPr>
        <w:t>de</w:t>
      </w:r>
      <w:r w:rsidR="00701BDA">
        <w:rPr>
          <w:lang w:eastAsia="it-IT"/>
        </w:rPr>
        <w:t>materializzazione del biglietto</w:t>
      </w:r>
      <w:r w:rsidR="00190368">
        <w:rPr>
          <w:lang w:eastAsia="it-IT"/>
        </w:rPr>
        <w:t xml:space="preserve"> (</w:t>
      </w:r>
      <w:r w:rsidR="00701BDA">
        <w:rPr>
          <w:lang w:eastAsia="it-IT"/>
        </w:rPr>
        <w:t>secondo le regole sanitar</w:t>
      </w:r>
      <w:r w:rsidR="001F5E95">
        <w:rPr>
          <w:lang w:eastAsia="it-IT"/>
        </w:rPr>
        <w:t>ie</w:t>
      </w:r>
      <w:r w:rsidR="008A30B9">
        <w:rPr>
          <w:lang w:eastAsia="it-IT"/>
        </w:rPr>
        <w:t xml:space="preserve"> e in base alla </w:t>
      </w:r>
      <w:r w:rsidR="008A30B9" w:rsidRPr="008A30B9">
        <w:rPr>
          <w:lang w:eastAsia="it-IT"/>
        </w:rPr>
        <w:t>Direttiva (UE) 2019/882</w:t>
      </w:r>
      <w:r w:rsidR="001F5E95">
        <w:rPr>
          <w:lang w:eastAsia="it-IT"/>
        </w:rPr>
        <w:t>)</w:t>
      </w:r>
      <w:r w:rsidR="00190368">
        <w:rPr>
          <w:lang w:eastAsia="it-IT"/>
        </w:rPr>
        <w:t>.</w:t>
      </w:r>
    </w:p>
    <w:p w14:paraId="28BB72FF" w14:textId="77777777" w:rsidR="00F97BB8" w:rsidRDefault="00A94F67" w:rsidP="00DF1F15">
      <w:pPr>
        <w:jc w:val="both"/>
        <w:rPr>
          <w:lang w:eastAsia="it-IT"/>
        </w:rPr>
      </w:pPr>
      <w:r>
        <w:rPr>
          <w:lang w:eastAsia="it-IT"/>
        </w:rPr>
        <w:t xml:space="preserve">I servizi del punto a) </w:t>
      </w:r>
      <w:r w:rsidR="00DF1F15">
        <w:rPr>
          <w:lang w:eastAsia="it-IT"/>
        </w:rPr>
        <w:t>si potranno</w:t>
      </w:r>
      <w:r w:rsidR="00946842">
        <w:rPr>
          <w:lang w:eastAsia="it-IT"/>
        </w:rPr>
        <w:t xml:space="preserve"> </w:t>
      </w:r>
      <w:r w:rsidR="0092359B">
        <w:rPr>
          <w:lang w:eastAsia="it-IT"/>
        </w:rPr>
        <w:t>avvalere di diversi sensori tradizionali a bordo dei mezzi e/o agli ingressi e sulle banchine</w:t>
      </w:r>
      <w:r w:rsidR="00B15FC7">
        <w:rPr>
          <w:lang w:eastAsia="it-IT"/>
        </w:rPr>
        <w:t>. V</w:t>
      </w:r>
      <w:r w:rsidR="0092359B">
        <w:rPr>
          <w:lang w:eastAsia="it-IT"/>
        </w:rPr>
        <w:t>ista la scarsa diffusione attuale di questi sistemi</w:t>
      </w:r>
      <w:r w:rsidR="00946842">
        <w:rPr>
          <w:lang w:eastAsia="it-IT"/>
        </w:rPr>
        <w:t>, occorrerà sperimentare sensori alternativi a basso costo e facile installazione ed integrazione co</w:t>
      </w:r>
      <w:r w:rsidR="004A3413">
        <w:rPr>
          <w:lang w:eastAsia="it-IT"/>
        </w:rPr>
        <w:t xml:space="preserve">n </w:t>
      </w:r>
      <w:r w:rsidR="00946842">
        <w:rPr>
          <w:lang w:eastAsia="it-IT"/>
        </w:rPr>
        <w:t>i sistemi aziendali, nonché</w:t>
      </w:r>
      <w:r w:rsidR="0092359B">
        <w:rPr>
          <w:lang w:eastAsia="it-IT"/>
        </w:rPr>
        <w:t xml:space="preserve"> </w:t>
      </w:r>
      <w:r w:rsidR="00946842">
        <w:rPr>
          <w:lang w:eastAsia="it-IT"/>
        </w:rPr>
        <w:t>prevedere che i sensori possano essere</w:t>
      </w:r>
      <w:r w:rsidR="0092359B">
        <w:rPr>
          <w:lang w:eastAsia="it-IT"/>
        </w:rPr>
        <w:t xml:space="preserve"> aiutati da una specifica “app” (</w:t>
      </w:r>
      <w:r w:rsidR="00946842">
        <w:rPr>
          <w:lang w:eastAsia="it-IT"/>
        </w:rPr>
        <w:t xml:space="preserve">anche essa </w:t>
      </w:r>
      <w:r w:rsidR="0092359B">
        <w:rPr>
          <w:lang w:eastAsia="it-IT"/>
        </w:rPr>
        <w:t>integrata</w:t>
      </w:r>
      <w:r w:rsidR="00946842">
        <w:rPr>
          <w:lang w:eastAsia="it-IT"/>
        </w:rPr>
        <w:t xml:space="preserve"> a più alto livello – ad esempio</w:t>
      </w:r>
      <w:r w:rsidR="0092359B">
        <w:rPr>
          <w:lang w:eastAsia="it-IT"/>
        </w:rPr>
        <w:t xml:space="preserve"> in </w:t>
      </w:r>
      <w:r w:rsidR="00946842">
        <w:rPr>
          <w:lang w:eastAsia="it-IT"/>
        </w:rPr>
        <w:t>“</w:t>
      </w:r>
      <w:r w:rsidR="0092359B">
        <w:rPr>
          <w:lang w:eastAsia="it-IT"/>
        </w:rPr>
        <w:t>IO</w:t>
      </w:r>
      <w:r w:rsidR="00946842">
        <w:rPr>
          <w:lang w:eastAsia="it-IT"/>
        </w:rPr>
        <w:t>”</w:t>
      </w:r>
      <w:r w:rsidR="0092359B">
        <w:rPr>
          <w:lang w:eastAsia="it-IT"/>
        </w:rPr>
        <w:t xml:space="preserve">), ad uso degli utenti registrati e aderenti al servizio, capace di contare i contatti </w:t>
      </w:r>
      <w:r w:rsidR="00B15FC7">
        <w:rPr>
          <w:lang w:eastAsia="it-IT"/>
        </w:rPr>
        <w:t>Bluetooth</w:t>
      </w:r>
      <w:r w:rsidR="0092359B">
        <w:rPr>
          <w:lang w:eastAsia="it-IT"/>
        </w:rPr>
        <w:t xml:space="preserve"> alle fermate e a bordo dei mezzi</w:t>
      </w:r>
      <w:r w:rsidR="00F97BB8">
        <w:rPr>
          <w:lang w:eastAsia="it-IT"/>
        </w:rPr>
        <w:t xml:space="preserve">, </w:t>
      </w:r>
      <w:r w:rsidR="00B15FC7">
        <w:rPr>
          <w:lang w:eastAsia="it-IT"/>
        </w:rPr>
        <w:t>scambiare</w:t>
      </w:r>
      <w:r w:rsidR="00F97BB8">
        <w:rPr>
          <w:lang w:eastAsia="it-IT"/>
        </w:rPr>
        <w:t xml:space="preserve"> </w:t>
      </w:r>
      <w:r w:rsidR="00EA3C58">
        <w:rPr>
          <w:lang w:eastAsia="it-IT"/>
        </w:rPr>
        <w:t xml:space="preserve">segnalazioni di affollamento </w:t>
      </w:r>
      <w:r w:rsidR="00B15FC7">
        <w:rPr>
          <w:lang w:eastAsia="it-IT"/>
        </w:rPr>
        <w:t>con il</w:t>
      </w:r>
      <w:r w:rsidR="00F97BB8">
        <w:rPr>
          <w:lang w:eastAsia="it-IT"/>
        </w:rPr>
        <w:t xml:space="preserve"> passeggero</w:t>
      </w:r>
      <w:r w:rsidR="001F5E95">
        <w:rPr>
          <w:lang w:eastAsia="it-IT"/>
        </w:rPr>
        <w:t xml:space="preserve"> e tras</w:t>
      </w:r>
      <w:r w:rsidR="00F97BB8">
        <w:rPr>
          <w:lang w:eastAsia="it-IT"/>
        </w:rPr>
        <w:t xml:space="preserve">mettere </w:t>
      </w:r>
      <w:r w:rsidR="001F5E95">
        <w:rPr>
          <w:lang w:eastAsia="it-IT"/>
        </w:rPr>
        <w:t>dat</w:t>
      </w:r>
      <w:r w:rsidR="00EA3C58">
        <w:rPr>
          <w:lang w:eastAsia="it-IT"/>
        </w:rPr>
        <w:t>i e segnalazioni</w:t>
      </w:r>
      <w:r w:rsidR="00F97BB8">
        <w:rPr>
          <w:lang w:eastAsia="it-IT"/>
        </w:rPr>
        <w:t xml:space="preserve"> </w:t>
      </w:r>
      <w:r w:rsidR="001F5E95">
        <w:rPr>
          <w:lang w:eastAsia="it-IT"/>
        </w:rPr>
        <w:t xml:space="preserve">alla centrale operativa del servizio. </w:t>
      </w:r>
      <w:r w:rsidR="00B15FC7">
        <w:rPr>
          <w:lang w:eastAsia="it-IT"/>
        </w:rPr>
        <w:t>L</w:t>
      </w:r>
      <w:r w:rsidR="001F5E95">
        <w:rPr>
          <w:lang w:eastAsia="it-IT"/>
        </w:rPr>
        <w:t>a centrale operativa provvederà alla miglior stima del livello di presenza a bordo, alle conseguenti decisioni di gestione e alla loro attuazione</w:t>
      </w:r>
      <w:r w:rsidR="00B15FC7">
        <w:rPr>
          <w:lang w:eastAsia="it-IT"/>
        </w:rPr>
        <w:t xml:space="preserve">, </w:t>
      </w:r>
      <w:r w:rsidR="00F97BB8">
        <w:rPr>
          <w:lang w:eastAsia="it-IT"/>
        </w:rPr>
        <w:t>comunicandole a</w:t>
      </w:r>
      <w:r w:rsidR="00B15FC7">
        <w:rPr>
          <w:lang w:eastAsia="it-IT"/>
        </w:rPr>
        <w:t>d</w:t>
      </w:r>
      <w:r w:rsidR="00F97BB8">
        <w:rPr>
          <w:lang w:eastAsia="it-IT"/>
        </w:rPr>
        <w:t xml:space="preserve"> autisti e, </w:t>
      </w:r>
      <w:r w:rsidR="00B15FC7">
        <w:rPr>
          <w:lang w:eastAsia="it-IT"/>
        </w:rPr>
        <w:t>via</w:t>
      </w:r>
      <w:r w:rsidR="00F97BB8">
        <w:rPr>
          <w:lang w:eastAsia="it-IT"/>
        </w:rPr>
        <w:t xml:space="preserve"> app, ai passeggeri. </w:t>
      </w:r>
      <w:r w:rsidR="00946842">
        <w:rPr>
          <w:lang w:eastAsia="it-IT"/>
        </w:rPr>
        <w:t xml:space="preserve">La sperimentazione </w:t>
      </w:r>
      <w:r w:rsidR="00B15FC7">
        <w:rPr>
          <w:lang w:eastAsia="it-IT"/>
        </w:rPr>
        <w:t>delle</w:t>
      </w:r>
      <w:r w:rsidR="00946842">
        <w:rPr>
          <w:lang w:eastAsia="it-IT"/>
        </w:rPr>
        <w:t xml:space="preserve"> soluzioni potrà avvenire rapidamente</w:t>
      </w:r>
      <w:r w:rsidR="00E95CE7">
        <w:rPr>
          <w:lang w:eastAsia="it-IT"/>
        </w:rPr>
        <w:t xml:space="preserve">; </w:t>
      </w:r>
      <w:r w:rsidR="00946842">
        <w:rPr>
          <w:lang w:eastAsia="it-IT"/>
        </w:rPr>
        <w:t xml:space="preserve">la </w:t>
      </w:r>
      <w:r w:rsidR="00B15FC7">
        <w:rPr>
          <w:lang w:eastAsia="it-IT"/>
        </w:rPr>
        <w:t xml:space="preserve">loro </w:t>
      </w:r>
      <w:r w:rsidR="00946842">
        <w:rPr>
          <w:lang w:eastAsia="it-IT"/>
        </w:rPr>
        <w:t>implementazione su larga scala dovrà essere supportata, anche dal punto di vista delle procedure amministrative.</w:t>
      </w:r>
    </w:p>
    <w:p w14:paraId="3A375BC1" w14:textId="77777777" w:rsidR="00946842" w:rsidRDefault="00946842" w:rsidP="00B15FC7">
      <w:pPr>
        <w:jc w:val="both"/>
        <w:rPr>
          <w:lang w:eastAsia="it-IT"/>
        </w:rPr>
      </w:pPr>
      <w:r>
        <w:rPr>
          <w:lang w:eastAsia="it-IT"/>
        </w:rPr>
        <w:t>I servizi del punto b) saranno integrati con quelli del punto a) e dovranno risolvere le problematiche relative:</w:t>
      </w:r>
      <w:r w:rsidR="005D0C5E">
        <w:rPr>
          <w:lang w:eastAsia="it-IT"/>
        </w:rPr>
        <w:t xml:space="preserve"> all’informazione agli utenti sull’accesso ai mezzi e sulle alternative in caso di affollamento e/o di previsto “salto della fermata”; alla pianificazione dei viaggi, nonché al pagamento dematerializzato; </w:t>
      </w:r>
      <w:r>
        <w:rPr>
          <w:lang w:eastAsia="it-IT"/>
        </w:rPr>
        <w:t xml:space="preserve">alla gestione di </w:t>
      </w:r>
      <w:r w:rsidR="005D0C5E">
        <w:rPr>
          <w:lang w:eastAsia="it-IT"/>
        </w:rPr>
        <w:t xml:space="preserve">eventuali </w:t>
      </w:r>
      <w:r>
        <w:rPr>
          <w:lang w:eastAsia="it-IT"/>
        </w:rPr>
        <w:t>sistemi di prenotazione</w:t>
      </w:r>
      <w:r w:rsidR="00190368">
        <w:rPr>
          <w:lang w:eastAsia="it-IT"/>
        </w:rPr>
        <w:t>; al controllo dell’accesso</w:t>
      </w:r>
      <w:r w:rsidR="00B15FC7">
        <w:rPr>
          <w:lang w:eastAsia="it-IT"/>
        </w:rPr>
        <w:t xml:space="preserve"> a bordo, </w:t>
      </w:r>
      <w:r w:rsidR="005D0C5E">
        <w:rPr>
          <w:lang w:eastAsia="it-IT"/>
        </w:rPr>
        <w:t xml:space="preserve">se necessario, </w:t>
      </w:r>
      <w:r w:rsidR="00190368">
        <w:rPr>
          <w:lang w:eastAsia="it-IT"/>
        </w:rPr>
        <w:t xml:space="preserve">in modo da garantire la fruizione </w:t>
      </w:r>
      <w:r w:rsidR="00B15FC7">
        <w:rPr>
          <w:lang w:eastAsia="it-IT"/>
        </w:rPr>
        <w:t xml:space="preserve">effettiva </w:t>
      </w:r>
      <w:r w:rsidR="00190368">
        <w:rPr>
          <w:lang w:eastAsia="it-IT"/>
        </w:rPr>
        <w:t>dell</w:t>
      </w:r>
      <w:r w:rsidR="00B15FC7">
        <w:rPr>
          <w:lang w:eastAsia="it-IT"/>
        </w:rPr>
        <w:t>e</w:t>
      </w:r>
      <w:r w:rsidR="00190368">
        <w:rPr>
          <w:lang w:eastAsia="it-IT"/>
        </w:rPr>
        <w:t xml:space="preserve"> prenotazion</w:t>
      </w:r>
      <w:r w:rsidR="00B15FC7">
        <w:rPr>
          <w:lang w:eastAsia="it-IT"/>
        </w:rPr>
        <w:t xml:space="preserve">i; </w:t>
      </w:r>
      <w:r w:rsidR="00190368">
        <w:rPr>
          <w:lang w:eastAsia="it-IT"/>
        </w:rPr>
        <w:t xml:space="preserve">alla “protezione” </w:t>
      </w:r>
      <w:r w:rsidR="00B15FC7">
        <w:rPr>
          <w:lang w:eastAsia="it-IT"/>
        </w:rPr>
        <w:t>degli utenti</w:t>
      </w:r>
      <w:r w:rsidR="00190368">
        <w:rPr>
          <w:lang w:eastAsia="it-IT"/>
        </w:rPr>
        <w:t xml:space="preserve"> prenotat</w:t>
      </w:r>
      <w:r w:rsidR="00B15FC7">
        <w:rPr>
          <w:lang w:eastAsia="it-IT"/>
        </w:rPr>
        <w:t>i</w:t>
      </w:r>
      <w:r w:rsidR="00190368">
        <w:rPr>
          <w:lang w:eastAsia="it-IT"/>
        </w:rPr>
        <w:t xml:space="preserve"> in caso di impossibilità del sistema di trasporto a garantire la soluzione di viaggio prenotata.</w:t>
      </w:r>
    </w:p>
    <w:p w14:paraId="78C7E103" w14:textId="77777777" w:rsidR="00E95CE7" w:rsidRDefault="00E95CE7" w:rsidP="00B15FC7">
      <w:pPr>
        <w:jc w:val="both"/>
      </w:pPr>
    </w:p>
    <w:p w14:paraId="2710317E" w14:textId="77777777" w:rsidR="00D17333" w:rsidRPr="00F97BB8" w:rsidRDefault="00D17333" w:rsidP="00F97BB8">
      <w:pPr>
        <w:pStyle w:val="Paragrafoelenco"/>
        <w:numPr>
          <w:ilvl w:val="0"/>
          <w:numId w:val="14"/>
        </w:numPr>
        <w:jc w:val="both"/>
        <w:rPr>
          <w:b/>
          <w:sz w:val="24"/>
        </w:rPr>
      </w:pPr>
      <w:r w:rsidRPr="00F97BB8">
        <w:rPr>
          <w:b/>
          <w:sz w:val="24"/>
        </w:rPr>
        <w:lastRenderedPageBreak/>
        <w:t>Gestione di processo</w:t>
      </w:r>
    </w:p>
    <w:p w14:paraId="33477CED" w14:textId="77777777" w:rsidR="00911DAC" w:rsidRPr="00F82E47" w:rsidRDefault="00911DAC" w:rsidP="00911DAC">
      <w:pPr>
        <w:jc w:val="both"/>
      </w:pPr>
      <w:r w:rsidRPr="003138A3">
        <w:t xml:space="preserve">È necessario </w:t>
      </w:r>
      <w:r w:rsidR="00D17333">
        <w:t xml:space="preserve">ricercare un preliminare e continuo </w:t>
      </w:r>
      <w:r>
        <w:t>allineamento interno al MIT e con il MID, al fine di individuare una strategia comune e univoca a livello centrale, ma soprattutto processi in cui la tecnologia trovi piena applicazione, con linee di intervento chiare per tutti gli attori e un perimetro di azione ben definito.</w:t>
      </w:r>
    </w:p>
    <w:p w14:paraId="589054E1" w14:textId="77777777" w:rsidR="00911DAC" w:rsidRDefault="00911DAC" w:rsidP="00911DAC">
      <w:pPr>
        <w:jc w:val="both"/>
      </w:pPr>
      <w:r>
        <w:t xml:space="preserve">È ad ogni modo evidente </w:t>
      </w:r>
      <w:r w:rsidR="0065137F">
        <w:t>come</w:t>
      </w:r>
      <w:r>
        <w:t xml:space="preserve"> i processi </w:t>
      </w:r>
      <w:r w:rsidR="00D17333">
        <w:t>da attuare per il raggiungimento degli obiettivi e per l’implementazione delle modalità operative</w:t>
      </w:r>
      <w:r>
        <w:t xml:space="preserve"> siano fortemente correlati con quanto si sta provvedendo a disciplinare nei protocolli e nelle linee guida del MIT e del MID, specificatamente al settore della mobilità in ambito urbano</w:t>
      </w:r>
      <w:r w:rsidR="0065137F">
        <w:t xml:space="preserve"> </w:t>
      </w:r>
      <w:r>
        <w:t xml:space="preserve">relativamente alla “Fase 2”, non dimenticando che rimane una materia concorrente Stato-Regioni e che pertanto </w:t>
      </w:r>
      <w:r w:rsidR="00E95CE7">
        <w:t xml:space="preserve">dovrà essere condivisa con il sistema delle Regioni e delle autonomie locali, </w:t>
      </w:r>
      <w:r>
        <w:t xml:space="preserve">in Conferenza </w:t>
      </w:r>
      <w:r w:rsidR="00E95CE7">
        <w:t>Unificata</w:t>
      </w:r>
      <w:r>
        <w:t>.</w:t>
      </w:r>
    </w:p>
    <w:p w14:paraId="34153233" w14:textId="77777777" w:rsidR="0065137F" w:rsidRDefault="0065137F" w:rsidP="00911DAC">
      <w:pPr>
        <w:jc w:val="both"/>
      </w:pPr>
      <w:r>
        <w:t xml:space="preserve">Allo scopo di assicurare la fattibilità delle implementazioni pilota è necessario supportare le aziende </w:t>
      </w:r>
      <w:r w:rsidR="00BE3608">
        <w:t xml:space="preserve">del TPL </w:t>
      </w:r>
      <w:r>
        <w:t>che saranno coinvolte. Il supporto potrà attuarsi sia facilitando l’accesso d</w:t>
      </w:r>
      <w:r w:rsidR="00BE3608">
        <w:t xml:space="preserve">i dette </w:t>
      </w:r>
      <w:r>
        <w:t>aziende</w:t>
      </w:r>
      <w:r w:rsidR="00BE3608">
        <w:t xml:space="preserve"> </w:t>
      </w:r>
      <w:r>
        <w:t xml:space="preserve">ad iniziative già attive (tavolo MID, finanziamenti MIT, programma </w:t>
      </w:r>
      <w:proofErr w:type="spellStart"/>
      <w:r>
        <w:t>Smarter</w:t>
      </w:r>
      <w:proofErr w:type="spellEnd"/>
      <w:r>
        <w:t xml:space="preserve"> </w:t>
      </w:r>
      <w:proofErr w:type="spellStart"/>
      <w:r>
        <w:t>Italy</w:t>
      </w:r>
      <w:proofErr w:type="spellEnd"/>
      <w:r>
        <w:t xml:space="preserve"> del MISE</w:t>
      </w:r>
      <w:r w:rsidR="00E95CE7">
        <w:t>, fondi PON, ecc.</w:t>
      </w:r>
      <w:r>
        <w:t>), sia supportando l’accesso a procedure realizzative efficienti e commisurate all’eccezionalità della situazione ed alla necessaria tempestività degli interventi (es.: accesso a procedure emergenziali e semplificate).</w:t>
      </w:r>
      <w:r w:rsidR="00DA24B6">
        <w:t xml:space="preserve"> Durante le implementazioni pilota le aziende </w:t>
      </w:r>
      <w:r w:rsidR="00BE3608">
        <w:t xml:space="preserve">del TPL </w:t>
      </w:r>
      <w:r w:rsidR="00DA24B6">
        <w:t>dovranno procedere all’integrazione, per quanto necessario, delle proprie piattaforme aziendali con le soluzioni tecnologiche da sperimentare.</w:t>
      </w:r>
    </w:p>
    <w:p w14:paraId="1DBF0F95" w14:textId="77777777" w:rsidR="00DA24B6" w:rsidRDefault="00DD05D8" w:rsidP="00DA24B6">
      <w:pPr>
        <w:jc w:val="both"/>
      </w:pPr>
      <w:r>
        <w:t xml:space="preserve">La </w:t>
      </w:r>
      <w:r w:rsidR="0065137F">
        <w:t>gestione de</w:t>
      </w:r>
      <w:r w:rsidR="00757769">
        <w:t>i</w:t>
      </w:r>
      <w:r w:rsidR="0065137F">
        <w:t xml:space="preserve"> processi sperimentali (pilota) avverrà</w:t>
      </w:r>
      <w:r>
        <w:t xml:space="preserve"> attraverso </w:t>
      </w:r>
      <w:r w:rsidR="0065137F">
        <w:t>la</w:t>
      </w:r>
      <w:r>
        <w:t xml:space="preserve"> SIDT</w:t>
      </w:r>
      <w:r w:rsidR="0065137F">
        <w:t xml:space="preserve">, con la quale il </w:t>
      </w:r>
      <w:r>
        <w:t>MIT manterrà attivo il canale accademico</w:t>
      </w:r>
      <w:r w:rsidR="0065137F">
        <w:t>-scientifico contribuendo, in cooperazione con le aziende</w:t>
      </w:r>
      <w:r w:rsidR="00BE3608">
        <w:t xml:space="preserve"> del TPL</w:t>
      </w:r>
      <w:r w:rsidR="0065137F">
        <w:t xml:space="preserve">, a: </w:t>
      </w:r>
      <w:r w:rsidR="0065137F" w:rsidRPr="005E5D87">
        <w:t>recepire e formalizzare requisiti</w:t>
      </w:r>
      <w:r w:rsidR="00BE3608">
        <w:t>,</w:t>
      </w:r>
      <w:r w:rsidR="0065137F">
        <w:t xml:space="preserve"> elaborare le specifiche</w:t>
      </w:r>
      <w:r w:rsidR="00BE3608">
        <w:t>,</w:t>
      </w:r>
      <w:r w:rsidR="0065137F">
        <w:t xml:space="preserve"> </w:t>
      </w:r>
      <w:r w:rsidR="0065137F" w:rsidRPr="005E5D87">
        <w:t xml:space="preserve">progettare </w:t>
      </w:r>
      <w:r w:rsidR="0065137F">
        <w:t xml:space="preserve">e seguire </w:t>
      </w:r>
      <w:r w:rsidR="0065137F" w:rsidRPr="005E5D87">
        <w:t>sperimentazion</w:t>
      </w:r>
      <w:r w:rsidR="0065137F">
        <w:t xml:space="preserve">i. La SIDT assicurerà che </w:t>
      </w:r>
      <w:r w:rsidR="00DA24B6">
        <w:t xml:space="preserve">il maggior numero possibile di aziende </w:t>
      </w:r>
      <w:r w:rsidR="00BE3608">
        <w:t xml:space="preserve">del TPL </w:t>
      </w:r>
      <w:r w:rsidR="00DA24B6">
        <w:t>possa accedere alle sperimentazioni sia, per un nucleo limitato di esse, con riferimento allo svolgimento della fase sperimentale stessa, sia</w:t>
      </w:r>
      <w:r w:rsidR="00B15FC7">
        <w:t>, per tutte,</w:t>
      </w:r>
      <w:r w:rsidR="00DA24B6">
        <w:t xml:space="preserve"> con riferimento all’accesso ai risultati ed agli aspetti salienti della sperimentazione. Nelle sue azioni la SIDT riceverà tutto il supporto necessario in termini di accesso a strumenti disponibili per l’</w:t>
      </w:r>
      <w:r w:rsidR="00BE3608">
        <w:t>O</w:t>
      </w:r>
      <w:r w:rsidR="00DA24B6">
        <w:t xml:space="preserve">sservatorio e, attraverso esso, delle </w:t>
      </w:r>
      <w:r w:rsidR="00BE3608">
        <w:t>I</w:t>
      </w:r>
      <w:r w:rsidR="00DA24B6">
        <w:t>stituzioni coinvolte (es.: dati storici, dati in tempo reale degli operatori telefoni</w:t>
      </w:r>
      <w:r w:rsidR="00E95CE7">
        <w:t>ci</w:t>
      </w:r>
      <w:r w:rsidR="00DA24B6">
        <w:t xml:space="preserve"> e dei provider di servizi telematici per la mobilità, ecc.); a tale scopo, l’</w:t>
      </w:r>
      <w:r w:rsidR="00BE3608">
        <w:t>O</w:t>
      </w:r>
      <w:r w:rsidR="00DA24B6">
        <w:t>sservatorio, il MIT ed il MID interagiranno con la Protezione Civile, c</w:t>
      </w:r>
      <w:r w:rsidR="00B15FC7">
        <w:t xml:space="preserve">on la Presidenza del Consiglio, con gli operatori di telecomunicazioni e con </w:t>
      </w:r>
      <w:r w:rsidR="00E95CE7">
        <w:t xml:space="preserve">gli </w:t>
      </w:r>
      <w:r w:rsidR="00B15FC7">
        <w:t>altri organismi in grado di assicurare l’utilizzo di dati eventualmente disponibili.</w:t>
      </w:r>
    </w:p>
    <w:p w14:paraId="45C59641" w14:textId="77777777" w:rsidR="0070547A" w:rsidRPr="00B54695" w:rsidRDefault="0070547A" w:rsidP="00DA24B6">
      <w:pPr>
        <w:jc w:val="both"/>
      </w:pPr>
      <w:r w:rsidRPr="00B54695">
        <w:t>La realizzazione dei sistemi sperimentali non può peraltro prescindere dal coinvolgimento - diretto o indiretto – di un largo numero di attori, tra cui occorre citare almeno:</w:t>
      </w:r>
    </w:p>
    <w:p w14:paraId="48220E42" w14:textId="77777777" w:rsidR="0070547A" w:rsidRPr="00B54695" w:rsidRDefault="0070547A" w:rsidP="0070547A">
      <w:pPr>
        <w:pStyle w:val="Paragrafoelenco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 w:rsidRPr="00B54695">
        <w:rPr>
          <w:rFonts w:ascii="Calibri" w:eastAsia="Times New Roman" w:hAnsi="Calibri" w:cs="Calibri"/>
          <w:color w:val="212121"/>
          <w:lang w:eastAsia="it-IT"/>
        </w:rPr>
        <w:t>Gestori del Trasporto Pubblico Locale</w:t>
      </w:r>
      <w:r w:rsidR="00F537BC" w:rsidRPr="00B54695">
        <w:rPr>
          <w:rFonts w:ascii="Calibri" w:eastAsia="Times New Roman" w:hAnsi="Calibri" w:cs="Calibri"/>
          <w:color w:val="212121"/>
          <w:lang w:eastAsia="it-IT"/>
        </w:rPr>
        <w:t xml:space="preserve">, in quanto partecipanti diretti alla sperimentazione o </w:t>
      </w:r>
      <w:r w:rsidR="00EE6CC9" w:rsidRPr="00B54695">
        <w:rPr>
          <w:rFonts w:ascii="Calibri" w:eastAsia="Times New Roman" w:hAnsi="Calibri" w:cs="Calibri"/>
          <w:color w:val="212121"/>
          <w:lang w:eastAsia="it-IT"/>
        </w:rPr>
        <w:t xml:space="preserve">semplici </w:t>
      </w:r>
      <w:r w:rsidR="00F537BC" w:rsidRPr="00B54695">
        <w:rPr>
          <w:rFonts w:ascii="Calibri" w:eastAsia="Times New Roman" w:hAnsi="Calibri" w:cs="Calibri"/>
          <w:color w:val="212121"/>
          <w:lang w:eastAsia="it-IT"/>
        </w:rPr>
        <w:t>fruitori delle soluzioni</w:t>
      </w:r>
      <w:r w:rsidR="00EE6CC9" w:rsidRPr="00B54695">
        <w:rPr>
          <w:rFonts w:ascii="Calibri" w:eastAsia="Times New Roman" w:hAnsi="Calibri" w:cs="Calibri"/>
          <w:color w:val="212121"/>
          <w:lang w:eastAsia="it-IT"/>
        </w:rPr>
        <w:t>,</w:t>
      </w:r>
      <w:r w:rsidR="00F537BC" w:rsidRPr="00B54695">
        <w:rPr>
          <w:rFonts w:ascii="Calibri" w:eastAsia="Times New Roman" w:hAnsi="Calibri" w:cs="Calibri"/>
          <w:color w:val="212121"/>
          <w:lang w:eastAsia="it-IT"/>
        </w:rPr>
        <w:t xml:space="preserve"> </w:t>
      </w:r>
    </w:p>
    <w:p w14:paraId="5D89E13A" w14:textId="77777777" w:rsidR="0070547A" w:rsidRPr="00B54695" w:rsidRDefault="0070547A" w:rsidP="0070547A">
      <w:pPr>
        <w:pStyle w:val="Paragrafoelenco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 w:rsidRPr="00B54695">
        <w:rPr>
          <w:rFonts w:ascii="Calibri" w:eastAsia="Times New Roman" w:hAnsi="Calibri" w:cs="Calibri"/>
          <w:color w:val="212121"/>
          <w:lang w:eastAsia="it-IT"/>
        </w:rPr>
        <w:t xml:space="preserve">System Integrator, in quanto fornitori delle aziende del TPL </w:t>
      </w:r>
      <w:r w:rsidR="00F537BC" w:rsidRPr="00B54695">
        <w:rPr>
          <w:rFonts w:ascii="Calibri" w:eastAsia="Times New Roman" w:hAnsi="Calibri" w:cs="Calibri"/>
          <w:color w:val="212121"/>
          <w:lang w:eastAsia="it-IT"/>
        </w:rPr>
        <w:t>e titolari dei diritti su componenti e sistemi installati e da integrare</w:t>
      </w:r>
      <w:r w:rsidR="00EE6CC9" w:rsidRPr="00B54695">
        <w:rPr>
          <w:rFonts w:ascii="Calibri" w:eastAsia="Times New Roman" w:hAnsi="Calibri" w:cs="Calibri"/>
          <w:color w:val="212121"/>
          <w:lang w:eastAsia="it-IT"/>
        </w:rPr>
        <w:t>,</w:t>
      </w:r>
    </w:p>
    <w:p w14:paraId="0D925374" w14:textId="77777777" w:rsidR="0070547A" w:rsidRPr="00B54695" w:rsidRDefault="0070547A" w:rsidP="0070547A">
      <w:pPr>
        <w:pStyle w:val="Paragrafoelenco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 w:rsidRPr="00B54695">
        <w:rPr>
          <w:rFonts w:ascii="Calibri" w:eastAsia="Times New Roman" w:hAnsi="Calibri" w:cs="Calibri"/>
          <w:color w:val="212121"/>
          <w:lang w:eastAsia="it-IT"/>
        </w:rPr>
        <w:t>Information providers</w:t>
      </w:r>
      <w:r w:rsidR="00F537BC" w:rsidRPr="00B54695">
        <w:rPr>
          <w:rFonts w:ascii="Calibri" w:eastAsia="Times New Roman" w:hAnsi="Calibri" w:cs="Calibri"/>
          <w:color w:val="212121"/>
          <w:lang w:eastAsia="it-IT"/>
        </w:rPr>
        <w:t>, in quanto offrono canali di diffusione dell’informazione e di interazione con i passeggeri</w:t>
      </w:r>
      <w:r w:rsidR="00EE6CC9" w:rsidRPr="00B54695">
        <w:rPr>
          <w:rFonts w:ascii="Calibri" w:eastAsia="Times New Roman" w:hAnsi="Calibri" w:cs="Calibri"/>
          <w:color w:val="212121"/>
          <w:lang w:eastAsia="it-IT"/>
        </w:rPr>
        <w:t>,</w:t>
      </w:r>
    </w:p>
    <w:p w14:paraId="41983367" w14:textId="77777777" w:rsidR="0070547A" w:rsidRPr="00B54695" w:rsidRDefault="0070547A" w:rsidP="0070547A">
      <w:pPr>
        <w:pStyle w:val="Paragrafoelenco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 w:rsidRPr="00B54695">
        <w:rPr>
          <w:rFonts w:ascii="Calibri" w:eastAsia="Times New Roman" w:hAnsi="Calibri" w:cs="Calibri"/>
          <w:color w:val="212121"/>
          <w:lang w:eastAsia="it-IT"/>
        </w:rPr>
        <w:t>Start up, sviluppatori</w:t>
      </w:r>
      <w:r w:rsidR="00F537BC" w:rsidRPr="00B54695">
        <w:rPr>
          <w:rFonts w:ascii="Calibri" w:eastAsia="Times New Roman" w:hAnsi="Calibri" w:cs="Calibri"/>
          <w:color w:val="212121"/>
          <w:lang w:eastAsia="it-IT"/>
        </w:rPr>
        <w:t>, in quanto capaci di introdurre rapidamente componenti innovativi</w:t>
      </w:r>
      <w:r w:rsidR="00EE6CC9" w:rsidRPr="00B54695">
        <w:rPr>
          <w:rFonts w:ascii="Calibri" w:eastAsia="Times New Roman" w:hAnsi="Calibri" w:cs="Calibri"/>
          <w:color w:val="212121"/>
          <w:lang w:eastAsia="it-IT"/>
        </w:rPr>
        <w:t>,</w:t>
      </w:r>
      <w:r w:rsidR="00F537BC" w:rsidRPr="00B54695">
        <w:rPr>
          <w:rFonts w:ascii="Calibri" w:eastAsia="Times New Roman" w:hAnsi="Calibri" w:cs="Calibri"/>
          <w:color w:val="212121"/>
          <w:lang w:eastAsia="it-IT"/>
        </w:rPr>
        <w:t xml:space="preserve"> </w:t>
      </w:r>
    </w:p>
    <w:p w14:paraId="06F8BAFB" w14:textId="77777777" w:rsidR="0070547A" w:rsidRPr="00B54695" w:rsidRDefault="0070547A" w:rsidP="0070547A">
      <w:pPr>
        <w:pStyle w:val="Paragrafoelenco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 w:rsidRPr="00B54695">
        <w:rPr>
          <w:rFonts w:ascii="Calibri" w:eastAsia="Times New Roman" w:hAnsi="Calibri" w:cs="Calibri"/>
          <w:color w:val="212121"/>
          <w:lang w:eastAsia="it-IT"/>
        </w:rPr>
        <w:t xml:space="preserve">Big data </w:t>
      </w:r>
      <w:r w:rsidR="00837701" w:rsidRPr="00B54695">
        <w:rPr>
          <w:rFonts w:ascii="Calibri" w:eastAsia="Times New Roman" w:hAnsi="Calibri" w:cs="Calibri"/>
          <w:color w:val="212121"/>
          <w:lang w:eastAsia="it-IT"/>
        </w:rPr>
        <w:t>providers</w:t>
      </w:r>
      <w:r w:rsidR="00F537BC" w:rsidRPr="00B54695">
        <w:rPr>
          <w:rFonts w:ascii="Calibri" w:eastAsia="Times New Roman" w:hAnsi="Calibri" w:cs="Calibri"/>
          <w:color w:val="212121"/>
          <w:lang w:eastAsia="it-IT"/>
        </w:rPr>
        <w:t>, in quanto proprietari di dati che possono aiutare</w:t>
      </w:r>
      <w:r w:rsidR="00EE6CC9" w:rsidRPr="00B54695">
        <w:rPr>
          <w:rFonts w:ascii="Calibri" w:eastAsia="Times New Roman" w:hAnsi="Calibri" w:cs="Calibri"/>
          <w:color w:val="212121"/>
          <w:lang w:eastAsia="it-IT"/>
        </w:rPr>
        <w:t xml:space="preserve"> gli sviluppi,</w:t>
      </w:r>
    </w:p>
    <w:p w14:paraId="0F29EA61" w14:textId="77777777" w:rsidR="0070547A" w:rsidRPr="00B54695" w:rsidRDefault="0070547A" w:rsidP="0070547A">
      <w:pPr>
        <w:pStyle w:val="Paragrafoelenco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it-IT"/>
        </w:rPr>
      </w:pPr>
      <w:r w:rsidRPr="00B54695">
        <w:rPr>
          <w:rFonts w:ascii="Calibri" w:eastAsia="Times New Roman" w:hAnsi="Calibri" w:cs="Calibri"/>
          <w:color w:val="212121"/>
          <w:lang w:eastAsia="it-IT"/>
        </w:rPr>
        <w:t xml:space="preserve">Stakeholders pubblici (i.e. MIT, SIDT, Enti di ricerca, </w:t>
      </w:r>
      <w:r w:rsidR="00F537BC" w:rsidRPr="00B54695">
        <w:rPr>
          <w:rFonts w:ascii="Calibri" w:eastAsia="Times New Roman" w:hAnsi="Calibri" w:cs="Calibri"/>
          <w:color w:val="212121"/>
          <w:lang w:eastAsia="it-IT"/>
        </w:rPr>
        <w:t xml:space="preserve">Università, </w:t>
      </w:r>
      <w:r w:rsidRPr="00B54695">
        <w:rPr>
          <w:rFonts w:ascii="Calibri" w:eastAsia="Times New Roman" w:hAnsi="Calibri" w:cs="Calibri"/>
          <w:color w:val="212121"/>
          <w:lang w:eastAsia="it-IT"/>
        </w:rPr>
        <w:t>ecc.)</w:t>
      </w:r>
    </w:p>
    <w:p w14:paraId="561151BF" w14:textId="77777777" w:rsidR="00D97D81" w:rsidRPr="00B54695" w:rsidRDefault="00D97D81" w:rsidP="00DA24B6">
      <w:pPr>
        <w:jc w:val="both"/>
      </w:pPr>
      <w:bookmarkStart w:id="2" w:name="_GoBack"/>
      <w:bookmarkEnd w:id="2"/>
    </w:p>
    <w:p w14:paraId="7179E34D" w14:textId="77777777" w:rsidR="0070547A" w:rsidRDefault="00837701" w:rsidP="00EE6CC9">
      <w:pPr>
        <w:jc w:val="both"/>
      </w:pPr>
      <w:r w:rsidRPr="00B54695">
        <w:t xml:space="preserve">Per raggiungere risultati significativi nel breve tempo richiesto dall’emergenza, sarà necessario consentire agli attori interessati – ricercatori, sviluppatori, titolari di diritti di proprietà intellettuali, gestori di sistemi e servizi, “data providers”- di lavorare </w:t>
      </w:r>
      <w:r w:rsidR="00EE6CC9" w:rsidRPr="00B54695">
        <w:t>insieme e senza impedimenti</w:t>
      </w:r>
      <w:r w:rsidRPr="00B54695">
        <w:t xml:space="preserve">, favorire la diffusione della conoscenza, agevolare lo </w:t>
      </w:r>
      <w:r w:rsidRPr="00B54695">
        <w:lastRenderedPageBreak/>
        <w:t xml:space="preserve">sviluppo concorrente e la sperimentazione di tecnologie e componenti (sperimentazione che in molti casi richiede l’accesso a dati e talvolta l’integrazione in servizi e sistemi esistenti). </w:t>
      </w:r>
      <w:proofErr w:type="gramStart"/>
      <w:r w:rsidR="00EE6CC9" w:rsidRPr="00B54695">
        <w:t>E’</w:t>
      </w:r>
      <w:proofErr w:type="gramEnd"/>
      <w:r w:rsidR="00EE6CC9" w:rsidRPr="00B54695">
        <w:t xml:space="preserve"> quindi opportuno studiare e mettere in opera una piattaforma di cooperazione volontaria tra i diversi attori, basata sull’impiego di licenze Open “Creative Commons” (si veda, ad esempio, l’iniziativa </w:t>
      </w:r>
      <w:hyperlink r:id="rId9" w:tgtFrame="_blank" w:history="1">
        <w:r w:rsidR="00EE6CC9" w:rsidRPr="00B54695">
          <w:rPr>
            <w:rStyle w:val="Collegamentoipertestuale"/>
          </w:rPr>
          <w:t xml:space="preserve">Open COVID </w:t>
        </w:r>
        <w:proofErr w:type="spellStart"/>
        <w:r w:rsidR="00EE6CC9" w:rsidRPr="00B54695">
          <w:rPr>
            <w:rStyle w:val="Collegamentoipertestuale"/>
          </w:rPr>
          <w:t>Pledge</w:t>
        </w:r>
        <w:proofErr w:type="spellEnd"/>
      </w:hyperlink>
      <w:r w:rsidR="00EE6CC9" w:rsidRPr="00B54695">
        <w:t xml:space="preserve">). </w:t>
      </w:r>
    </w:p>
    <w:sectPr w:rsidR="0070547A" w:rsidSect="00084B88">
      <w:footerReference w:type="default" r:id="rId10"/>
      <w:pgSz w:w="11906" w:h="16838"/>
      <w:pgMar w:top="1134" w:right="1021" w:bottom="1134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77060" w14:textId="77777777" w:rsidR="00910C90" w:rsidRDefault="00910C90" w:rsidP="00FC412C">
      <w:pPr>
        <w:spacing w:after="0" w:line="240" w:lineRule="auto"/>
      </w:pPr>
      <w:r>
        <w:separator/>
      </w:r>
    </w:p>
  </w:endnote>
  <w:endnote w:type="continuationSeparator" w:id="0">
    <w:p w14:paraId="08C728C5" w14:textId="77777777" w:rsidR="00910C90" w:rsidRDefault="00910C90" w:rsidP="00FC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F4093" w14:textId="77777777" w:rsidR="00FC412C" w:rsidRDefault="00FC412C">
    <w:pPr>
      <w:rPr>
        <w:rFonts w:asciiTheme="majorHAnsi" w:eastAsiaTheme="majorEastAsia" w:hAnsiTheme="majorHAnsi" w:cstheme="majorBidi"/>
      </w:rPr>
    </w:pPr>
  </w:p>
  <w:p w14:paraId="195D2D28" w14:textId="77777777" w:rsidR="00FC412C" w:rsidRDefault="00FC412C">
    <w:pPr>
      <w:pStyle w:val="Pidipagina"/>
    </w:pPr>
    <w:r>
      <w:rPr>
        <w:rFonts w:asciiTheme="majorHAnsi" w:eastAsiaTheme="majorEastAsia" w:hAnsiTheme="majorHAnsi" w:cstheme="majorBidi"/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77220C" wp14:editId="026227FE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274955" cy="334645"/>
              <wp:effectExtent l="0" t="0" r="0" b="8255"/>
              <wp:wrapNone/>
              <wp:docPr id="560" name="Ova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5167" cy="3346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4E89C" w14:textId="77777777" w:rsidR="00FC412C" w:rsidRPr="00451852" w:rsidRDefault="00FC412C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51852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51852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51852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D56BC" w:rsidRPr="006D56BC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51852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177220C" id="Ovale 10" o:spid="_x0000_s1026" style="position:absolute;margin-left:0;margin-top:0;width:21.65pt;height:26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" fillcolor="#40618b" stroked="f">
              <v:textbox inset="0,,0">
                <w:txbxContent>
                  <w:p w14:paraId="0AA4E89C" w14:textId="77777777" w:rsidR="00FC412C" w:rsidRPr="00451852" w:rsidRDefault="00FC412C">
                    <w:pPr>
                      <w:pStyle w:val="Pidipagina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51852">
                      <w:rPr>
                        <w:sz w:val="20"/>
                        <w:szCs w:val="20"/>
                      </w:rPr>
                      <w:fldChar w:fldCharType="begin"/>
                    </w:r>
                    <w:r w:rsidRPr="00451852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Pr="00451852">
                      <w:rPr>
                        <w:sz w:val="20"/>
                        <w:szCs w:val="20"/>
                      </w:rPr>
                      <w:fldChar w:fldCharType="separate"/>
                    </w:r>
                    <w:r w:rsidR="006D56BC" w:rsidRPr="006D56BC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51852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ADFCD" w14:textId="77777777" w:rsidR="00910C90" w:rsidRDefault="00910C90" w:rsidP="00FC412C">
      <w:pPr>
        <w:spacing w:after="0" w:line="240" w:lineRule="auto"/>
      </w:pPr>
      <w:r>
        <w:separator/>
      </w:r>
    </w:p>
  </w:footnote>
  <w:footnote w:type="continuationSeparator" w:id="0">
    <w:p w14:paraId="69ACBCE5" w14:textId="77777777" w:rsidR="00910C90" w:rsidRDefault="00910C90" w:rsidP="00FC4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20CD"/>
    <w:multiLevelType w:val="hybridMultilevel"/>
    <w:tmpl w:val="06C6565A"/>
    <w:lvl w:ilvl="0" w:tplc="568A7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23A"/>
    <w:multiLevelType w:val="hybridMultilevel"/>
    <w:tmpl w:val="D6041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3B3"/>
    <w:multiLevelType w:val="hybridMultilevel"/>
    <w:tmpl w:val="89C6E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36976"/>
    <w:multiLevelType w:val="hybridMultilevel"/>
    <w:tmpl w:val="ED06B62A"/>
    <w:lvl w:ilvl="0" w:tplc="568A7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7F00"/>
    <w:multiLevelType w:val="hybridMultilevel"/>
    <w:tmpl w:val="F6B2A6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43D26"/>
    <w:multiLevelType w:val="hybridMultilevel"/>
    <w:tmpl w:val="9EF6F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96BEBA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64726"/>
    <w:multiLevelType w:val="hybridMultilevel"/>
    <w:tmpl w:val="8EA6E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7189B"/>
    <w:multiLevelType w:val="hybridMultilevel"/>
    <w:tmpl w:val="25BAA496"/>
    <w:lvl w:ilvl="0" w:tplc="8F7ACE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455B6"/>
    <w:multiLevelType w:val="hybridMultilevel"/>
    <w:tmpl w:val="3B08F100"/>
    <w:lvl w:ilvl="0" w:tplc="83049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96BEBA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236FC"/>
    <w:multiLevelType w:val="hybridMultilevel"/>
    <w:tmpl w:val="57B2D3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A798D"/>
    <w:multiLevelType w:val="hybridMultilevel"/>
    <w:tmpl w:val="EA0C8C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56BBB"/>
    <w:multiLevelType w:val="hybridMultilevel"/>
    <w:tmpl w:val="877E66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D752C"/>
    <w:multiLevelType w:val="hybridMultilevel"/>
    <w:tmpl w:val="CE0EA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678E3"/>
    <w:multiLevelType w:val="hybridMultilevel"/>
    <w:tmpl w:val="EE340148"/>
    <w:lvl w:ilvl="0" w:tplc="B8E4A0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E0C06"/>
    <w:multiLevelType w:val="hybridMultilevel"/>
    <w:tmpl w:val="89C6E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20D49"/>
    <w:multiLevelType w:val="hybridMultilevel"/>
    <w:tmpl w:val="C5FE1C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85009"/>
    <w:multiLevelType w:val="hybridMultilevel"/>
    <w:tmpl w:val="9EF6F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96BEBA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3"/>
  </w:num>
  <w:num w:numId="5">
    <w:abstractNumId w:val="14"/>
  </w:num>
  <w:num w:numId="6">
    <w:abstractNumId w:val="5"/>
  </w:num>
  <w:num w:numId="7">
    <w:abstractNumId w:val="2"/>
  </w:num>
  <w:num w:numId="8">
    <w:abstractNumId w:val="15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13"/>
  </w:num>
  <w:num w:numId="15">
    <w:abstractNumId w:val="1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CD"/>
    <w:rsid w:val="00002C9C"/>
    <w:rsid w:val="00041619"/>
    <w:rsid w:val="00045449"/>
    <w:rsid w:val="000474D5"/>
    <w:rsid w:val="000535DA"/>
    <w:rsid w:val="00083F0B"/>
    <w:rsid w:val="00084B88"/>
    <w:rsid w:val="000B3C07"/>
    <w:rsid w:val="000B462A"/>
    <w:rsid w:val="000E7EDF"/>
    <w:rsid w:val="00105BCD"/>
    <w:rsid w:val="001104F7"/>
    <w:rsid w:val="0011109F"/>
    <w:rsid w:val="00134596"/>
    <w:rsid w:val="001356A4"/>
    <w:rsid w:val="00141C80"/>
    <w:rsid w:val="0015204B"/>
    <w:rsid w:val="00153199"/>
    <w:rsid w:val="00157467"/>
    <w:rsid w:val="00190368"/>
    <w:rsid w:val="001C7182"/>
    <w:rsid w:val="001E2FFE"/>
    <w:rsid w:val="001F176E"/>
    <w:rsid w:val="001F5E95"/>
    <w:rsid w:val="00204F51"/>
    <w:rsid w:val="0020757E"/>
    <w:rsid w:val="002359D1"/>
    <w:rsid w:val="002446F6"/>
    <w:rsid w:val="00244BA5"/>
    <w:rsid w:val="0028195D"/>
    <w:rsid w:val="00296CA5"/>
    <w:rsid w:val="002A5C44"/>
    <w:rsid w:val="002F7DD4"/>
    <w:rsid w:val="003138A3"/>
    <w:rsid w:val="0032035B"/>
    <w:rsid w:val="00343D98"/>
    <w:rsid w:val="00345CB8"/>
    <w:rsid w:val="0035421B"/>
    <w:rsid w:val="003613AE"/>
    <w:rsid w:val="00387347"/>
    <w:rsid w:val="0038745D"/>
    <w:rsid w:val="003B134E"/>
    <w:rsid w:val="003B208D"/>
    <w:rsid w:val="003B3093"/>
    <w:rsid w:val="003F3ED9"/>
    <w:rsid w:val="003F51C4"/>
    <w:rsid w:val="003F77B3"/>
    <w:rsid w:val="00442954"/>
    <w:rsid w:val="00451852"/>
    <w:rsid w:val="00461DD7"/>
    <w:rsid w:val="00476247"/>
    <w:rsid w:val="00494E41"/>
    <w:rsid w:val="004965D7"/>
    <w:rsid w:val="00497CFC"/>
    <w:rsid w:val="004A3413"/>
    <w:rsid w:val="004D0BB5"/>
    <w:rsid w:val="004D2697"/>
    <w:rsid w:val="004E3E42"/>
    <w:rsid w:val="0051134E"/>
    <w:rsid w:val="00520226"/>
    <w:rsid w:val="00523601"/>
    <w:rsid w:val="00555CE2"/>
    <w:rsid w:val="00586841"/>
    <w:rsid w:val="005C72BD"/>
    <w:rsid w:val="005D0C5E"/>
    <w:rsid w:val="005E48FF"/>
    <w:rsid w:val="005E5CFF"/>
    <w:rsid w:val="005E5D87"/>
    <w:rsid w:val="005F6579"/>
    <w:rsid w:val="0060075D"/>
    <w:rsid w:val="00600C0B"/>
    <w:rsid w:val="00627CB2"/>
    <w:rsid w:val="00634272"/>
    <w:rsid w:val="0065137F"/>
    <w:rsid w:val="00667393"/>
    <w:rsid w:val="00686294"/>
    <w:rsid w:val="006A3348"/>
    <w:rsid w:val="006A7E42"/>
    <w:rsid w:val="006B3E93"/>
    <w:rsid w:val="006D56BC"/>
    <w:rsid w:val="006E5F2D"/>
    <w:rsid w:val="006F3738"/>
    <w:rsid w:val="006F741B"/>
    <w:rsid w:val="00701BDA"/>
    <w:rsid w:val="00703EB9"/>
    <w:rsid w:val="0070547A"/>
    <w:rsid w:val="00722207"/>
    <w:rsid w:val="007326CD"/>
    <w:rsid w:val="0074161F"/>
    <w:rsid w:val="00757769"/>
    <w:rsid w:val="00765C03"/>
    <w:rsid w:val="0077133C"/>
    <w:rsid w:val="00777FF5"/>
    <w:rsid w:val="00795591"/>
    <w:rsid w:val="007C429B"/>
    <w:rsid w:val="007D3417"/>
    <w:rsid w:val="007F2E23"/>
    <w:rsid w:val="008010B4"/>
    <w:rsid w:val="008268AD"/>
    <w:rsid w:val="00837701"/>
    <w:rsid w:val="00847A7C"/>
    <w:rsid w:val="00851CD4"/>
    <w:rsid w:val="00863777"/>
    <w:rsid w:val="00871534"/>
    <w:rsid w:val="008829C4"/>
    <w:rsid w:val="00883956"/>
    <w:rsid w:val="008841E5"/>
    <w:rsid w:val="008A30B9"/>
    <w:rsid w:val="008B51D8"/>
    <w:rsid w:val="008C1B66"/>
    <w:rsid w:val="008C1F43"/>
    <w:rsid w:val="008D15FC"/>
    <w:rsid w:val="00900C71"/>
    <w:rsid w:val="00910C90"/>
    <w:rsid w:val="00911DAC"/>
    <w:rsid w:val="00916E7C"/>
    <w:rsid w:val="00921BED"/>
    <w:rsid w:val="0092359B"/>
    <w:rsid w:val="0092737C"/>
    <w:rsid w:val="00946842"/>
    <w:rsid w:val="00966824"/>
    <w:rsid w:val="00974AAB"/>
    <w:rsid w:val="009A1E9A"/>
    <w:rsid w:val="009A4ADF"/>
    <w:rsid w:val="009B7EAB"/>
    <w:rsid w:val="009C5BCE"/>
    <w:rsid w:val="009C7525"/>
    <w:rsid w:val="00A01D7F"/>
    <w:rsid w:val="00A34962"/>
    <w:rsid w:val="00A50428"/>
    <w:rsid w:val="00A55BA0"/>
    <w:rsid w:val="00A6056C"/>
    <w:rsid w:val="00A65375"/>
    <w:rsid w:val="00A817CD"/>
    <w:rsid w:val="00A824C5"/>
    <w:rsid w:val="00A94F67"/>
    <w:rsid w:val="00AA22DB"/>
    <w:rsid w:val="00AF111C"/>
    <w:rsid w:val="00B05F07"/>
    <w:rsid w:val="00B11578"/>
    <w:rsid w:val="00B1384A"/>
    <w:rsid w:val="00B1387E"/>
    <w:rsid w:val="00B15FC7"/>
    <w:rsid w:val="00B312C0"/>
    <w:rsid w:val="00B42AA6"/>
    <w:rsid w:val="00B54695"/>
    <w:rsid w:val="00B64794"/>
    <w:rsid w:val="00B70628"/>
    <w:rsid w:val="00B9766B"/>
    <w:rsid w:val="00BB19E2"/>
    <w:rsid w:val="00BE3608"/>
    <w:rsid w:val="00BE4638"/>
    <w:rsid w:val="00BF2134"/>
    <w:rsid w:val="00C363A0"/>
    <w:rsid w:val="00C46BE1"/>
    <w:rsid w:val="00C56014"/>
    <w:rsid w:val="00C60585"/>
    <w:rsid w:val="00C6741F"/>
    <w:rsid w:val="00C6744E"/>
    <w:rsid w:val="00C875C1"/>
    <w:rsid w:val="00CE0F42"/>
    <w:rsid w:val="00CE578E"/>
    <w:rsid w:val="00D0232E"/>
    <w:rsid w:val="00D04B1C"/>
    <w:rsid w:val="00D15C2D"/>
    <w:rsid w:val="00D17333"/>
    <w:rsid w:val="00D24EC3"/>
    <w:rsid w:val="00D4315A"/>
    <w:rsid w:val="00D50A31"/>
    <w:rsid w:val="00D72916"/>
    <w:rsid w:val="00D812E5"/>
    <w:rsid w:val="00D83CC8"/>
    <w:rsid w:val="00D97D81"/>
    <w:rsid w:val="00DA24B6"/>
    <w:rsid w:val="00DA2B0C"/>
    <w:rsid w:val="00DB43EE"/>
    <w:rsid w:val="00DD05D8"/>
    <w:rsid w:val="00DF1F15"/>
    <w:rsid w:val="00DF31AC"/>
    <w:rsid w:val="00E134F2"/>
    <w:rsid w:val="00E176C2"/>
    <w:rsid w:val="00E34159"/>
    <w:rsid w:val="00E62B6F"/>
    <w:rsid w:val="00E64C7E"/>
    <w:rsid w:val="00E665D6"/>
    <w:rsid w:val="00E841C9"/>
    <w:rsid w:val="00E85FF0"/>
    <w:rsid w:val="00E9399F"/>
    <w:rsid w:val="00E95CE7"/>
    <w:rsid w:val="00EA022B"/>
    <w:rsid w:val="00EA3C58"/>
    <w:rsid w:val="00EA576F"/>
    <w:rsid w:val="00EA79B5"/>
    <w:rsid w:val="00EE4EE8"/>
    <w:rsid w:val="00EE6CC9"/>
    <w:rsid w:val="00EF2D41"/>
    <w:rsid w:val="00EF7090"/>
    <w:rsid w:val="00F2407F"/>
    <w:rsid w:val="00F26FAA"/>
    <w:rsid w:val="00F46043"/>
    <w:rsid w:val="00F52420"/>
    <w:rsid w:val="00F537BC"/>
    <w:rsid w:val="00F55A10"/>
    <w:rsid w:val="00F76FCD"/>
    <w:rsid w:val="00F82E47"/>
    <w:rsid w:val="00F90090"/>
    <w:rsid w:val="00F951D2"/>
    <w:rsid w:val="00F97A8D"/>
    <w:rsid w:val="00F97BB8"/>
    <w:rsid w:val="00FA0580"/>
    <w:rsid w:val="00FB2E93"/>
    <w:rsid w:val="00FC412C"/>
    <w:rsid w:val="00FC489F"/>
    <w:rsid w:val="00FC628C"/>
    <w:rsid w:val="00F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2582D"/>
  <w15:docId w15:val="{7060CF64-D777-421F-A513-709C219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E0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7CD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0E7EDF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C4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12C"/>
  </w:style>
  <w:style w:type="paragraph" w:styleId="Pidipagina">
    <w:name w:val="footer"/>
    <w:basedOn w:val="Normale"/>
    <w:link w:val="PidipaginaCarattere"/>
    <w:uiPriority w:val="99"/>
    <w:unhideWhenUsed/>
    <w:rsid w:val="00FC4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12C"/>
  </w:style>
  <w:style w:type="paragraph" w:styleId="Paragrafoelenco">
    <w:name w:val="List Paragraph"/>
    <w:basedOn w:val="Normale"/>
    <w:uiPriority w:val="34"/>
    <w:qFormat/>
    <w:rsid w:val="00974AA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874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74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74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74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745D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0F4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Revisione">
    <w:name w:val="Revision"/>
    <w:hidden/>
    <w:uiPriority w:val="99"/>
    <w:semiHidden/>
    <w:rsid w:val="008A30B9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F5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53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pencovidpledge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40973-3917-4D14-ABC8-ECF3F561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2659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roberto.bianca</dc:creator>
  <cp:lastModifiedBy>MN</cp:lastModifiedBy>
  <cp:revision>2</cp:revision>
  <dcterms:created xsi:type="dcterms:W3CDTF">2020-05-06T19:53:00Z</dcterms:created>
  <dcterms:modified xsi:type="dcterms:W3CDTF">2020-05-06T19:53:00Z</dcterms:modified>
</cp:coreProperties>
</file>