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406A4A" w14:textId="6F87E0C0" w:rsidR="00D00625" w:rsidRPr="00775233" w:rsidRDefault="00775233" w:rsidP="005D0F69">
      <w:pPr>
        <w:spacing w:line="36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en-AU"/>
        </w:rPr>
      </w:pPr>
      <w:bookmarkStart w:id="0" w:name="_GoBack"/>
      <w:r w:rsidRPr="00775233">
        <w:rPr>
          <w:rFonts w:asciiTheme="majorBidi" w:hAnsiTheme="majorBidi" w:cstheme="majorBidi"/>
          <w:b/>
          <w:bCs/>
          <w:sz w:val="24"/>
          <w:szCs w:val="24"/>
          <w:lang w:val="en-AU"/>
        </w:rPr>
        <w:t>Online Health Consultancy Services</w:t>
      </w:r>
      <w:r w:rsidR="005D0F69">
        <w:rPr>
          <w:rFonts w:asciiTheme="majorBidi" w:hAnsiTheme="majorBidi" w:cstheme="majorBidi"/>
          <w:b/>
          <w:bCs/>
          <w:sz w:val="24"/>
          <w:szCs w:val="24"/>
          <w:lang w:val="en-AU"/>
        </w:rPr>
        <w:t xml:space="preserve"> </w:t>
      </w:r>
      <w:r w:rsidR="00602282">
        <w:rPr>
          <w:rFonts w:asciiTheme="majorBidi" w:hAnsiTheme="majorBidi" w:cstheme="majorBidi"/>
          <w:b/>
          <w:bCs/>
          <w:sz w:val="24"/>
          <w:szCs w:val="24"/>
          <w:lang w:val="en-AU"/>
        </w:rPr>
        <w:t xml:space="preserve">- </w:t>
      </w:r>
      <w:r w:rsidR="00FA7A65">
        <w:rPr>
          <w:rFonts w:asciiTheme="majorBidi" w:hAnsiTheme="majorBidi" w:cstheme="majorBidi"/>
          <w:b/>
          <w:bCs/>
          <w:sz w:val="24"/>
          <w:szCs w:val="24"/>
          <w:lang w:val="en-AU"/>
        </w:rPr>
        <w:t>Switzerland</w:t>
      </w:r>
    </w:p>
    <w:p w14:paraId="38670634" w14:textId="034EBB68" w:rsidR="00FA7A65" w:rsidRDefault="00ED79F3" w:rsidP="0018286C">
      <w:pPr>
        <w:spacing w:line="360" w:lineRule="auto"/>
        <w:jc w:val="both"/>
        <w:rPr>
          <w:rFonts w:asciiTheme="majorBidi" w:hAnsiTheme="majorBidi" w:cstheme="majorBidi"/>
          <w:bCs/>
          <w:sz w:val="24"/>
          <w:szCs w:val="24"/>
          <w:lang w:val="en-AU"/>
        </w:rPr>
      </w:pPr>
      <w:r>
        <w:rPr>
          <w:rFonts w:asciiTheme="majorBidi" w:hAnsiTheme="majorBidi" w:cstheme="majorBidi"/>
          <w:bCs/>
          <w:sz w:val="24"/>
          <w:szCs w:val="24"/>
          <w:lang w:val="en-AU"/>
        </w:rPr>
        <w:t xml:space="preserve">Due to Switzerland’s federal structure the provision of health services is regulated differently in each canton. However, the Federal </w:t>
      </w:r>
      <w:r w:rsidR="00A05176">
        <w:rPr>
          <w:rFonts w:asciiTheme="majorBidi" w:hAnsiTheme="majorBidi" w:cstheme="majorBidi"/>
          <w:bCs/>
          <w:sz w:val="24"/>
          <w:szCs w:val="24"/>
          <w:lang w:val="en-AU"/>
        </w:rPr>
        <w:t>Act on H</w:t>
      </w:r>
      <w:r w:rsidR="00E46A54">
        <w:rPr>
          <w:rFonts w:asciiTheme="majorBidi" w:hAnsiTheme="majorBidi" w:cstheme="majorBidi"/>
          <w:bCs/>
          <w:sz w:val="24"/>
          <w:szCs w:val="24"/>
          <w:lang w:val="en-AU"/>
        </w:rPr>
        <w:t xml:space="preserve">ealth </w:t>
      </w:r>
      <w:r w:rsidR="00A05176">
        <w:rPr>
          <w:rFonts w:asciiTheme="majorBidi" w:hAnsiTheme="majorBidi" w:cstheme="majorBidi"/>
          <w:bCs/>
          <w:sz w:val="24"/>
          <w:szCs w:val="24"/>
          <w:lang w:val="en-AU"/>
        </w:rPr>
        <w:t>P</w:t>
      </w:r>
      <w:r w:rsidR="00E46A54">
        <w:rPr>
          <w:rFonts w:asciiTheme="majorBidi" w:hAnsiTheme="majorBidi" w:cstheme="majorBidi"/>
          <w:bCs/>
          <w:sz w:val="24"/>
          <w:szCs w:val="24"/>
          <w:lang w:val="en-AU"/>
        </w:rPr>
        <w:t>rofessions</w:t>
      </w:r>
      <w:r w:rsidR="00E46A54">
        <w:rPr>
          <w:rStyle w:val="Funotenzeichen"/>
          <w:rFonts w:asciiTheme="majorBidi" w:hAnsiTheme="majorBidi" w:cstheme="majorBidi"/>
          <w:bCs/>
          <w:sz w:val="24"/>
          <w:szCs w:val="24"/>
          <w:lang w:val="en-AU"/>
        </w:rPr>
        <w:footnoteReference w:id="1"/>
      </w:r>
      <w:r w:rsidR="00E46A54">
        <w:rPr>
          <w:rFonts w:asciiTheme="majorBidi" w:hAnsiTheme="majorBidi" w:cstheme="majorBidi"/>
          <w:bCs/>
          <w:sz w:val="24"/>
          <w:szCs w:val="24"/>
          <w:lang w:val="en-AU"/>
        </w:rPr>
        <w:t xml:space="preserve"> sets minimal standards </w:t>
      </w:r>
      <w:r w:rsidR="002635F3">
        <w:rPr>
          <w:rFonts w:asciiTheme="majorBidi" w:hAnsiTheme="majorBidi" w:cstheme="majorBidi"/>
          <w:bCs/>
          <w:sz w:val="24"/>
          <w:szCs w:val="24"/>
          <w:lang w:val="en-AU"/>
        </w:rPr>
        <w:t>for health profession that</w:t>
      </w:r>
      <w:r w:rsidR="00E46A54">
        <w:rPr>
          <w:rFonts w:asciiTheme="majorBidi" w:hAnsiTheme="majorBidi" w:cstheme="majorBidi"/>
          <w:bCs/>
          <w:sz w:val="24"/>
          <w:szCs w:val="24"/>
          <w:lang w:val="en-AU"/>
        </w:rPr>
        <w:t xml:space="preserve"> re</w:t>
      </w:r>
      <w:r w:rsidR="002635F3">
        <w:rPr>
          <w:rFonts w:asciiTheme="majorBidi" w:hAnsiTheme="majorBidi" w:cstheme="majorBidi"/>
          <w:bCs/>
          <w:sz w:val="24"/>
          <w:szCs w:val="24"/>
          <w:lang w:val="en-AU"/>
        </w:rPr>
        <w:t>quire a</w:t>
      </w:r>
      <w:r w:rsidR="00E46A54">
        <w:rPr>
          <w:rFonts w:asciiTheme="majorBidi" w:hAnsiTheme="majorBidi" w:cstheme="majorBidi"/>
          <w:bCs/>
          <w:sz w:val="24"/>
          <w:szCs w:val="24"/>
          <w:lang w:val="en-AU"/>
        </w:rPr>
        <w:t xml:space="preserve"> university education</w:t>
      </w:r>
      <w:r w:rsidR="002635F3">
        <w:rPr>
          <w:rFonts w:asciiTheme="majorBidi" w:hAnsiTheme="majorBidi" w:cstheme="majorBidi"/>
          <w:bCs/>
          <w:sz w:val="24"/>
          <w:szCs w:val="24"/>
          <w:lang w:val="en-AU"/>
        </w:rPr>
        <w:t xml:space="preserve">, in particular physicians, dentists, pharmacists, chiropractors and </w:t>
      </w:r>
      <w:r w:rsidR="002635F3" w:rsidRPr="002635F3">
        <w:rPr>
          <w:rFonts w:asciiTheme="majorBidi" w:hAnsiTheme="majorBidi" w:cstheme="majorBidi"/>
          <w:bCs/>
          <w:sz w:val="24"/>
          <w:szCs w:val="24"/>
          <w:lang w:val="en-AU"/>
        </w:rPr>
        <w:t>veterinarian</w:t>
      </w:r>
      <w:r w:rsidR="002635F3">
        <w:rPr>
          <w:rFonts w:asciiTheme="majorBidi" w:hAnsiTheme="majorBidi" w:cstheme="majorBidi"/>
          <w:bCs/>
          <w:sz w:val="24"/>
          <w:szCs w:val="24"/>
          <w:lang w:val="en-AU"/>
        </w:rPr>
        <w:t xml:space="preserve">s (article 2 Federal </w:t>
      </w:r>
      <w:r w:rsidR="00A05176">
        <w:rPr>
          <w:rFonts w:asciiTheme="majorBidi" w:hAnsiTheme="majorBidi" w:cstheme="majorBidi"/>
          <w:bCs/>
          <w:sz w:val="24"/>
          <w:szCs w:val="24"/>
          <w:lang w:val="en-AU"/>
        </w:rPr>
        <w:t>Act on H</w:t>
      </w:r>
      <w:r w:rsidR="002635F3">
        <w:rPr>
          <w:rFonts w:asciiTheme="majorBidi" w:hAnsiTheme="majorBidi" w:cstheme="majorBidi"/>
          <w:bCs/>
          <w:sz w:val="24"/>
          <w:szCs w:val="24"/>
          <w:lang w:val="en-AU"/>
        </w:rPr>
        <w:t>e</w:t>
      </w:r>
      <w:r w:rsidR="00A05176">
        <w:rPr>
          <w:rFonts w:asciiTheme="majorBidi" w:hAnsiTheme="majorBidi" w:cstheme="majorBidi"/>
          <w:bCs/>
          <w:sz w:val="24"/>
          <w:szCs w:val="24"/>
          <w:lang w:val="en-AU"/>
        </w:rPr>
        <w:t>alth P</w:t>
      </w:r>
      <w:r w:rsidR="002635F3">
        <w:rPr>
          <w:rFonts w:asciiTheme="majorBidi" w:hAnsiTheme="majorBidi" w:cstheme="majorBidi"/>
          <w:bCs/>
          <w:sz w:val="24"/>
          <w:szCs w:val="24"/>
          <w:lang w:val="en-AU"/>
        </w:rPr>
        <w:t>rofessions)</w:t>
      </w:r>
      <w:r w:rsidR="008D5C9D">
        <w:rPr>
          <w:rFonts w:asciiTheme="majorBidi" w:hAnsiTheme="majorBidi" w:cstheme="majorBidi"/>
          <w:bCs/>
          <w:sz w:val="24"/>
          <w:szCs w:val="24"/>
          <w:lang w:val="en-AU"/>
        </w:rPr>
        <w:t>.</w:t>
      </w:r>
      <w:r w:rsidR="002A3F9C">
        <w:rPr>
          <w:rFonts w:asciiTheme="majorBidi" w:hAnsiTheme="majorBidi" w:cstheme="majorBidi"/>
          <w:bCs/>
          <w:sz w:val="24"/>
          <w:szCs w:val="24"/>
          <w:lang w:val="en-AU"/>
        </w:rPr>
        <w:t xml:space="preserve"> Art. 34 Federal Act on </w:t>
      </w:r>
      <w:r w:rsidR="00A05176">
        <w:rPr>
          <w:rFonts w:asciiTheme="majorBidi" w:hAnsiTheme="majorBidi" w:cstheme="majorBidi"/>
          <w:bCs/>
          <w:sz w:val="24"/>
          <w:szCs w:val="24"/>
          <w:lang w:val="en-AU"/>
        </w:rPr>
        <w:t>H</w:t>
      </w:r>
      <w:r w:rsidR="002A3F9C">
        <w:rPr>
          <w:rFonts w:asciiTheme="majorBidi" w:hAnsiTheme="majorBidi" w:cstheme="majorBidi"/>
          <w:bCs/>
          <w:sz w:val="24"/>
          <w:szCs w:val="24"/>
          <w:lang w:val="en-AU"/>
        </w:rPr>
        <w:t xml:space="preserve">ealth </w:t>
      </w:r>
      <w:r w:rsidR="00A05176">
        <w:rPr>
          <w:rFonts w:asciiTheme="majorBidi" w:hAnsiTheme="majorBidi" w:cstheme="majorBidi"/>
          <w:bCs/>
          <w:sz w:val="24"/>
          <w:szCs w:val="24"/>
          <w:lang w:val="en-AU"/>
        </w:rPr>
        <w:t>P</w:t>
      </w:r>
      <w:r w:rsidR="002A3F9C">
        <w:rPr>
          <w:rFonts w:asciiTheme="majorBidi" w:hAnsiTheme="majorBidi" w:cstheme="majorBidi"/>
          <w:bCs/>
          <w:sz w:val="24"/>
          <w:szCs w:val="24"/>
          <w:lang w:val="en-AU"/>
        </w:rPr>
        <w:t xml:space="preserve">rofessions states that health professionals need to authorize their private practice in the canton in which they provide their services. </w:t>
      </w:r>
      <w:r w:rsidR="001843E6">
        <w:rPr>
          <w:rFonts w:asciiTheme="majorBidi" w:hAnsiTheme="majorBidi" w:cstheme="majorBidi"/>
          <w:bCs/>
          <w:sz w:val="24"/>
          <w:szCs w:val="24"/>
          <w:lang w:val="en-AU"/>
        </w:rPr>
        <w:t xml:space="preserve">While the Federal Act on </w:t>
      </w:r>
      <w:r w:rsidR="00A05176">
        <w:rPr>
          <w:rFonts w:asciiTheme="majorBidi" w:hAnsiTheme="majorBidi" w:cstheme="majorBidi"/>
          <w:bCs/>
          <w:sz w:val="24"/>
          <w:szCs w:val="24"/>
          <w:lang w:val="en-AU"/>
        </w:rPr>
        <w:t>H</w:t>
      </w:r>
      <w:r w:rsidR="001843E6">
        <w:rPr>
          <w:rFonts w:asciiTheme="majorBidi" w:hAnsiTheme="majorBidi" w:cstheme="majorBidi"/>
          <w:bCs/>
          <w:sz w:val="24"/>
          <w:szCs w:val="24"/>
          <w:lang w:val="en-AU"/>
        </w:rPr>
        <w:t>e</w:t>
      </w:r>
      <w:r w:rsidR="00A05176">
        <w:rPr>
          <w:rFonts w:asciiTheme="majorBidi" w:hAnsiTheme="majorBidi" w:cstheme="majorBidi"/>
          <w:bCs/>
          <w:sz w:val="24"/>
          <w:szCs w:val="24"/>
          <w:lang w:val="en-AU"/>
        </w:rPr>
        <w:t>alth P</w:t>
      </w:r>
      <w:r w:rsidR="001843E6">
        <w:rPr>
          <w:rFonts w:asciiTheme="majorBidi" w:hAnsiTheme="majorBidi" w:cstheme="majorBidi"/>
          <w:bCs/>
          <w:sz w:val="24"/>
          <w:szCs w:val="24"/>
          <w:lang w:val="en-AU"/>
        </w:rPr>
        <w:t>rofessions does not regulate Online Health Services as suc</w:t>
      </w:r>
      <w:r w:rsidR="006A7835">
        <w:rPr>
          <w:rFonts w:asciiTheme="majorBidi" w:hAnsiTheme="majorBidi" w:cstheme="majorBidi"/>
          <w:bCs/>
          <w:sz w:val="24"/>
          <w:szCs w:val="24"/>
          <w:lang w:val="en-AU"/>
        </w:rPr>
        <w:t xml:space="preserve">h, Art. 40 </w:t>
      </w:r>
      <w:proofErr w:type="gramStart"/>
      <w:r w:rsidR="006A7835">
        <w:rPr>
          <w:rFonts w:asciiTheme="majorBidi" w:hAnsiTheme="majorBidi" w:cstheme="majorBidi"/>
          <w:bCs/>
          <w:sz w:val="24"/>
          <w:szCs w:val="24"/>
          <w:lang w:val="en-AU"/>
        </w:rPr>
        <w:t>demands</w:t>
      </w:r>
      <w:proofErr w:type="gramEnd"/>
      <w:r w:rsidR="006A7835">
        <w:rPr>
          <w:rFonts w:asciiTheme="majorBidi" w:hAnsiTheme="majorBidi" w:cstheme="majorBidi"/>
          <w:bCs/>
          <w:sz w:val="24"/>
          <w:szCs w:val="24"/>
          <w:lang w:val="en-AU"/>
        </w:rPr>
        <w:t xml:space="preserve"> that health professionals perform their services </w:t>
      </w:r>
      <w:r w:rsidR="006A7835" w:rsidRPr="006A7835">
        <w:rPr>
          <w:rFonts w:asciiTheme="majorBidi" w:hAnsiTheme="majorBidi" w:cstheme="majorBidi"/>
          <w:bCs/>
          <w:sz w:val="24"/>
          <w:szCs w:val="24"/>
          <w:lang w:val="en-AU"/>
        </w:rPr>
        <w:t>conscientiously and carefully</w:t>
      </w:r>
      <w:r w:rsidR="006A7835">
        <w:rPr>
          <w:rFonts w:asciiTheme="majorBidi" w:hAnsiTheme="majorBidi" w:cstheme="majorBidi"/>
          <w:bCs/>
          <w:sz w:val="24"/>
          <w:szCs w:val="24"/>
          <w:lang w:val="en-AU"/>
        </w:rPr>
        <w:t>. When applying this duty in practice</w:t>
      </w:r>
      <w:r w:rsidR="00602282">
        <w:rPr>
          <w:rFonts w:asciiTheme="majorBidi" w:hAnsiTheme="majorBidi" w:cstheme="majorBidi"/>
          <w:bCs/>
          <w:sz w:val="24"/>
          <w:szCs w:val="24"/>
          <w:lang w:val="en-AU"/>
        </w:rPr>
        <w:t>,</w:t>
      </w:r>
      <w:r w:rsidR="006A7835">
        <w:rPr>
          <w:rFonts w:asciiTheme="majorBidi" w:hAnsiTheme="majorBidi" w:cstheme="majorBidi"/>
          <w:bCs/>
          <w:sz w:val="24"/>
          <w:szCs w:val="24"/>
          <w:lang w:val="en-AU"/>
        </w:rPr>
        <w:t xml:space="preserve"> courts will</w:t>
      </w:r>
      <w:r w:rsidR="008D5C9D">
        <w:rPr>
          <w:rFonts w:asciiTheme="majorBidi" w:hAnsiTheme="majorBidi" w:cstheme="majorBidi"/>
          <w:bCs/>
          <w:sz w:val="24"/>
          <w:szCs w:val="24"/>
          <w:lang w:val="en-AU"/>
        </w:rPr>
        <w:t xml:space="preserve"> also</w:t>
      </w:r>
      <w:r w:rsidR="006A7835">
        <w:rPr>
          <w:rFonts w:asciiTheme="majorBidi" w:hAnsiTheme="majorBidi" w:cstheme="majorBidi"/>
          <w:bCs/>
          <w:sz w:val="24"/>
          <w:szCs w:val="24"/>
          <w:lang w:val="en-AU"/>
        </w:rPr>
        <w:t xml:space="preserve"> take the </w:t>
      </w:r>
      <w:r w:rsidR="006A7835" w:rsidRPr="006A7835">
        <w:rPr>
          <w:rFonts w:asciiTheme="majorBidi" w:hAnsiTheme="majorBidi" w:cstheme="majorBidi"/>
          <w:bCs/>
          <w:sz w:val="24"/>
          <w:szCs w:val="24"/>
          <w:lang w:val="en-AU"/>
        </w:rPr>
        <w:t>Statutes of the Swiss Medical Association (FMH)</w:t>
      </w:r>
      <w:r w:rsidR="006A7835">
        <w:rPr>
          <w:rFonts w:asciiTheme="majorBidi" w:hAnsiTheme="majorBidi" w:cstheme="majorBidi"/>
          <w:bCs/>
          <w:sz w:val="24"/>
          <w:szCs w:val="24"/>
          <w:lang w:val="en-AU"/>
        </w:rPr>
        <w:t xml:space="preserve"> into consideration. Art. </w:t>
      </w:r>
      <w:proofErr w:type="gramStart"/>
      <w:r w:rsidR="006A7835">
        <w:rPr>
          <w:rFonts w:asciiTheme="majorBidi" w:hAnsiTheme="majorBidi" w:cstheme="majorBidi"/>
          <w:bCs/>
          <w:sz w:val="24"/>
          <w:szCs w:val="24"/>
          <w:lang w:val="en-AU"/>
        </w:rPr>
        <w:t>7 para.</w:t>
      </w:r>
      <w:proofErr w:type="gramEnd"/>
      <w:r w:rsidR="00602282">
        <w:rPr>
          <w:rFonts w:asciiTheme="majorBidi" w:hAnsiTheme="majorBidi" w:cstheme="majorBidi"/>
          <w:bCs/>
          <w:sz w:val="24"/>
          <w:szCs w:val="24"/>
          <w:lang w:val="en-AU"/>
        </w:rPr>
        <w:t> 3 FMH Statutes requires</w:t>
      </w:r>
      <w:r w:rsidR="007C6EBE">
        <w:rPr>
          <w:rFonts w:asciiTheme="majorBidi" w:hAnsiTheme="majorBidi" w:cstheme="majorBidi"/>
          <w:bCs/>
          <w:sz w:val="24"/>
          <w:szCs w:val="24"/>
          <w:lang w:val="en-AU"/>
        </w:rPr>
        <w:t xml:space="preserve"> that </w:t>
      </w:r>
      <w:r w:rsidR="006A7835">
        <w:rPr>
          <w:rFonts w:asciiTheme="majorBidi" w:hAnsiTheme="majorBidi" w:cstheme="majorBidi"/>
          <w:bCs/>
          <w:sz w:val="24"/>
          <w:szCs w:val="24"/>
          <w:lang w:val="en-AU"/>
        </w:rPr>
        <w:t xml:space="preserve">health services </w:t>
      </w:r>
      <w:r w:rsidR="007C6EBE">
        <w:rPr>
          <w:rFonts w:asciiTheme="majorBidi" w:hAnsiTheme="majorBidi" w:cstheme="majorBidi"/>
          <w:bCs/>
          <w:sz w:val="24"/>
          <w:szCs w:val="24"/>
          <w:lang w:val="en-AU"/>
        </w:rPr>
        <w:t xml:space="preserve">may not exclusively be provided </w:t>
      </w:r>
      <w:r w:rsidR="006A7835">
        <w:rPr>
          <w:rFonts w:asciiTheme="majorBidi" w:hAnsiTheme="majorBidi" w:cstheme="majorBidi"/>
          <w:bCs/>
          <w:sz w:val="24"/>
          <w:szCs w:val="24"/>
          <w:lang w:val="en-AU"/>
        </w:rPr>
        <w:t>via tel</w:t>
      </w:r>
      <w:r w:rsidR="007C6EBE">
        <w:rPr>
          <w:rFonts w:asciiTheme="majorBidi" w:hAnsiTheme="majorBidi" w:cstheme="majorBidi"/>
          <w:bCs/>
          <w:sz w:val="24"/>
          <w:szCs w:val="24"/>
          <w:lang w:val="en-AU"/>
        </w:rPr>
        <w:t xml:space="preserve">ephone or via electronic communication on a regular basis. </w:t>
      </w:r>
    </w:p>
    <w:bookmarkEnd w:id="0"/>
    <w:p w14:paraId="051C2AA9" w14:textId="0DB08CB3" w:rsidR="007C6EBE" w:rsidRDefault="007C6EBE" w:rsidP="0018286C">
      <w:pPr>
        <w:spacing w:line="360" w:lineRule="auto"/>
        <w:jc w:val="both"/>
        <w:rPr>
          <w:rFonts w:asciiTheme="majorBidi" w:hAnsiTheme="majorBidi" w:cstheme="majorBidi"/>
          <w:bCs/>
          <w:sz w:val="24"/>
          <w:szCs w:val="24"/>
          <w:lang w:val="en-AU"/>
        </w:rPr>
      </w:pPr>
      <w:r>
        <w:rPr>
          <w:rFonts w:asciiTheme="majorBidi" w:hAnsiTheme="majorBidi" w:cstheme="majorBidi"/>
          <w:bCs/>
          <w:sz w:val="24"/>
          <w:szCs w:val="24"/>
          <w:lang w:val="en-AU"/>
        </w:rPr>
        <w:t>Similarly some of the younger cantonal laws governing the provision of health services implicitly regulate online or tele-medical health services: § 12 para. 3 Zurich Health Act</w:t>
      </w:r>
      <w:r>
        <w:rPr>
          <w:rStyle w:val="Funotenzeichen"/>
          <w:rFonts w:asciiTheme="majorBidi" w:hAnsiTheme="majorBidi" w:cstheme="majorBidi"/>
          <w:bCs/>
          <w:sz w:val="24"/>
          <w:szCs w:val="24"/>
          <w:lang w:val="en-AU"/>
        </w:rPr>
        <w:footnoteReference w:id="2"/>
      </w:r>
      <w:r>
        <w:rPr>
          <w:rFonts w:asciiTheme="majorBidi" w:hAnsiTheme="majorBidi" w:cstheme="majorBidi"/>
          <w:bCs/>
          <w:sz w:val="24"/>
          <w:szCs w:val="24"/>
          <w:lang w:val="en-AU"/>
        </w:rPr>
        <w:t xml:space="preserve"> states that whoever provides health services shall do so in person and shall in principle have immediate contact with the patient.</w:t>
      </w:r>
      <w:r w:rsidR="00B111C4">
        <w:rPr>
          <w:rFonts w:asciiTheme="majorBidi" w:hAnsiTheme="majorBidi" w:cstheme="majorBidi"/>
          <w:bCs/>
          <w:sz w:val="24"/>
          <w:szCs w:val="24"/>
          <w:lang w:val="en-AU"/>
        </w:rPr>
        <w:t xml:space="preserve"> Accordingly, the provision of online health services is allowed</w:t>
      </w:r>
      <w:r w:rsidR="008D5C9D">
        <w:rPr>
          <w:rFonts w:asciiTheme="majorBidi" w:hAnsiTheme="majorBidi" w:cstheme="majorBidi"/>
          <w:bCs/>
          <w:sz w:val="24"/>
          <w:szCs w:val="24"/>
          <w:lang w:val="en-AU"/>
        </w:rPr>
        <w:t xml:space="preserve"> in the canton of Zurich</w:t>
      </w:r>
      <w:r w:rsidR="00B111C4">
        <w:rPr>
          <w:rFonts w:asciiTheme="majorBidi" w:hAnsiTheme="majorBidi" w:cstheme="majorBidi"/>
          <w:bCs/>
          <w:sz w:val="24"/>
          <w:szCs w:val="24"/>
          <w:lang w:val="en-AU"/>
        </w:rPr>
        <w:t xml:space="preserve">, but must remain a complementary service. </w:t>
      </w:r>
    </w:p>
    <w:p w14:paraId="096933C4" w14:textId="72D289ED" w:rsidR="001843E6" w:rsidRDefault="008D5C9D" w:rsidP="0018286C">
      <w:pPr>
        <w:spacing w:line="360" w:lineRule="auto"/>
        <w:jc w:val="both"/>
        <w:rPr>
          <w:rFonts w:asciiTheme="majorBidi" w:hAnsiTheme="majorBidi" w:cstheme="majorBidi"/>
          <w:bCs/>
          <w:sz w:val="24"/>
          <w:szCs w:val="24"/>
          <w:lang w:val="en-AU"/>
        </w:rPr>
      </w:pPr>
      <w:r>
        <w:rPr>
          <w:rFonts w:asciiTheme="majorBidi" w:hAnsiTheme="majorBidi" w:cstheme="majorBidi"/>
          <w:bCs/>
          <w:sz w:val="24"/>
          <w:szCs w:val="24"/>
          <w:lang w:val="en-AU"/>
        </w:rPr>
        <w:t>With regard to private law, a</w:t>
      </w:r>
      <w:r w:rsidR="007C6EBE">
        <w:rPr>
          <w:rFonts w:asciiTheme="majorBidi" w:hAnsiTheme="majorBidi" w:cstheme="majorBidi"/>
          <w:bCs/>
          <w:sz w:val="24"/>
          <w:szCs w:val="24"/>
          <w:lang w:val="en-AU"/>
        </w:rPr>
        <w:t xml:space="preserve"> health professional provides his servi</w:t>
      </w:r>
      <w:r>
        <w:rPr>
          <w:rFonts w:asciiTheme="majorBidi" w:hAnsiTheme="majorBidi" w:cstheme="majorBidi"/>
          <w:bCs/>
          <w:sz w:val="24"/>
          <w:szCs w:val="24"/>
          <w:lang w:val="en-AU"/>
        </w:rPr>
        <w:t xml:space="preserve">ces on the basis of a mandate </w:t>
      </w:r>
      <w:r w:rsidR="00602282">
        <w:rPr>
          <w:rFonts w:asciiTheme="majorBidi" w:hAnsiTheme="majorBidi" w:cstheme="majorBidi"/>
          <w:bCs/>
          <w:sz w:val="24"/>
          <w:szCs w:val="24"/>
          <w:lang w:val="en-AU"/>
        </w:rPr>
        <w:t xml:space="preserve">contract </w:t>
      </w:r>
      <w:r>
        <w:rPr>
          <w:rFonts w:asciiTheme="majorBidi" w:hAnsiTheme="majorBidi" w:cstheme="majorBidi"/>
          <w:bCs/>
          <w:sz w:val="24"/>
          <w:szCs w:val="24"/>
          <w:lang w:val="en-AU"/>
        </w:rPr>
        <w:t>and has to observe the s</w:t>
      </w:r>
      <w:r w:rsidR="007C6EBE">
        <w:rPr>
          <w:rFonts w:asciiTheme="majorBidi" w:hAnsiTheme="majorBidi" w:cstheme="majorBidi"/>
          <w:bCs/>
          <w:sz w:val="24"/>
          <w:szCs w:val="24"/>
          <w:lang w:val="en-AU"/>
        </w:rPr>
        <w:t>tandard</w:t>
      </w:r>
      <w:r>
        <w:rPr>
          <w:rFonts w:asciiTheme="majorBidi" w:hAnsiTheme="majorBidi" w:cstheme="majorBidi"/>
          <w:bCs/>
          <w:sz w:val="24"/>
          <w:szCs w:val="24"/>
          <w:lang w:val="en-AU"/>
        </w:rPr>
        <w:t>s</w:t>
      </w:r>
      <w:r w:rsidR="007C6EBE">
        <w:rPr>
          <w:rFonts w:asciiTheme="majorBidi" w:hAnsiTheme="majorBidi" w:cstheme="majorBidi"/>
          <w:bCs/>
          <w:sz w:val="24"/>
          <w:szCs w:val="24"/>
          <w:lang w:val="en-AU"/>
        </w:rPr>
        <w:t xml:space="preserve"> of care</w:t>
      </w:r>
      <w:r>
        <w:rPr>
          <w:rFonts w:asciiTheme="majorBidi" w:hAnsiTheme="majorBidi" w:cstheme="majorBidi"/>
          <w:bCs/>
          <w:sz w:val="24"/>
          <w:szCs w:val="24"/>
          <w:lang w:val="en-AU"/>
        </w:rPr>
        <w:t xml:space="preserve"> </w:t>
      </w:r>
      <w:r w:rsidRPr="008D5C9D">
        <w:rPr>
          <w:rFonts w:asciiTheme="majorBidi" w:hAnsiTheme="majorBidi" w:cstheme="majorBidi"/>
          <w:bCs/>
          <w:i/>
          <w:sz w:val="24"/>
          <w:szCs w:val="24"/>
          <w:lang w:val="en-AU"/>
        </w:rPr>
        <w:t xml:space="preserve">de </w:t>
      </w:r>
      <w:proofErr w:type="spellStart"/>
      <w:r w:rsidRPr="008D5C9D">
        <w:rPr>
          <w:rFonts w:asciiTheme="majorBidi" w:hAnsiTheme="majorBidi" w:cstheme="majorBidi"/>
          <w:bCs/>
          <w:i/>
          <w:sz w:val="24"/>
          <w:szCs w:val="24"/>
          <w:lang w:val="en-AU"/>
        </w:rPr>
        <w:t>lege</w:t>
      </w:r>
      <w:proofErr w:type="spellEnd"/>
      <w:r w:rsidRPr="008D5C9D">
        <w:rPr>
          <w:rFonts w:asciiTheme="majorBidi" w:hAnsiTheme="majorBidi" w:cstheme="majorBidi"/>
          <w:bCs/>
          <w:i/>
          <w:sz w:val="24"/>
          <w:szCs w:val="24"/>
          <w:lang w:val="en-AU"/>
        </w:rPr>
        <w:t xml:space="preserve"> </w:t>
      </w:r>
      <w:proofErr w:type="spellStart"/>
      <w:r w:rsidRPr="008D5C9D">
        <w:rPr>
          <w:rFonts w:asciiTheme="majorBidi" w:hAnsiTheme="majorBidi" w:cstheme="majorBidi"/>
          <w:bCs/>
          <w:i/>
          <w:sz w:val="24"/>
          <w:szCs w:val="24"/>
          <w:lang w:val="en-AU"/>
        </w:rPr>
        <w:t>artis</w:t>
      </w:r>
      <w:proofErr w:type="spellEnd"/>
      <w:r w:rsidR="00602282">
        <w:rPr>
          <w:rFonts w:asciiTheme="majorBidi" w:hAnsiTheme="majorBidi" w:cstheme="majorBidi"/>
          <w:bCs/>
          <w:i/>
          <w:sz w:val="24"/>
          <w:szCs w:val="24"/>
          <w:lang w:val="en-AU"/>
        </w:rPr>
        <w:t xml:space="preserve"> </w:t>
      </w:r>
      <w:r w:rsidR="00602282">
        <w:rPr>
          <w:rFonts w:asciiTheme="majorBidi" w:hAnsiTheme="majorBidi" w:cstheme="majorBidi"/>
          <w:bCs/>
          <w:sz w:val="24"/>
          <w:szCs w:val="24"/>
          <w:lang w:val="en-AU"/>
        </w:rPr>
        <w:t>(Art. 398 para. 2 Code of Obligations</w:t>
      </w:r>
      <w:r w:rsidR="00602282">
        <w:rPr>
          <w:rStyle w:val="Funotenzeichen"/>
          <w:rFonts w:asciiTheme="majorBidi" w:hAnsiTheme="majorBidi" w:cstheme="majorBidi"/>
          <w:bCs/>
          <w:sz w:val="24"/>
          <w:szCs w:val="24"/>
          <w:lang w:val="en-AU"/>
        </w:rPr>
        <w:footnoteReference w:id="3"/>
      </w:r>
      <w:r w:rsidR="00602282">
        <w:rPr>
          <w:rFonts w:asciiTheme="majorBidi" w:hAnsiTheme="majorBidi" w:cstheme="majorBidi"/>
          <w:bCs/>
          <w:sz w:val="24"/>
          <w:szCs w:val="24"/>
          <w:lang w:val="en-AU"/>
        </w:rPr>
        <w:t>)</w:t>
      </w:r>
      <w:r w:rsidR="007C6EBE">
        <w:rPr>
          <w:rFonts w:asciiTheme="majorBidi" w:hAnsiTheme="majorBidi" w:cstheme="majorBidi"/>
          <w:bCs/>
          <w:sz w:val="24"/>
          <w:szCs w:val="24"/>
          <w:lang w:val="en-AU"/>
        </w:rPr>
        <w:t xml:space="preserve">. In a medical liability </w:t>
      </w:r>
      <w:r w:rsidR="004366B4">
        <w:rPr>
          <w:rFonts w:asciiTheme="majorBidi" w:hAnsiTheme="majorBidi" w:cstheme="majorBidi"/>
          <w:bCs/>
          <w:sz w:val="24"/>
          <w:szCs w:val="24"/>
          <w:lang w:val="en-AU"/>
        </w:rPr>
        <w:t xml:space="preserve">case </w:t>
      </w:r>
      <w:r w:rsidR="007C6EBE">
        <w:rPr>
          <w:rFonts w:asciiTheme="majorBidi" w:hAnsiTheme="majorBidi" w:cstheme="majorBidi"/>
          <w:bCs/>
          <w:sz w:val="24"/>
          <w:szCs w:val="24"/>
          <w:lang w:val="en-AU"/>
        </w:rPr>
        <w:t xml:space="preserve">dating from 1990 the Swiss Federal Supreme Court stated that a physician has </w:t>
      </w:r>
      <w:r w:rsidR="00B478B5">
        <w:rPr>
          <w:rFonts w:asciiTheme="majorBidi" w:hAnsiTheme="majorBidi" w:cstheme="majorBidi"/>
          <w:bCs/>
          <w:sz w:val="24"/>
          <w:szCs w:val="24"/>
          <w:lang w:val="en-AU"/>
        </w:rPr>
        <w:t>to observe the same standard of care when consulting via telephone as when examining the patient directly. If the presented symptoms necessitate a direct consultation, the physician has to examine the patient in person</w:t>
      </w:r>
      <w:r w:rsidR="00B111C4">
        <w:rPr>
          <w:rStyle w:val="Funotenzeichen"/>
          <w:rFonts w:asciiTheme="majorBidi" w:hAnsiTheme="majorBidi" w:cstheme="majorBidi"/>
          <w:bCs/>
          <w:sz w:val="24"/>
          <w:szCs w:val="24"/>
          <w:lang w:val="en-AU"/>
        </w:rPr>
        <w:footnoteReference w:id="4"/>
      </w:r>
      <w:r w:rsidR="00B478B5">
        <w:rPr>
          <w:rFonts w:asciiTheme="majorBidi" w:hAnsiTheme="majorBidi" w:cstheme="majorBidi"/>
          <w:bCs/>
          <w:sz w:val="24"/>
          <w:szCs w:val="24"/>
          <w:lang w:val="en-AU"/>
        </w:rPr>
        <w:t>.</w:t>
      </w:r>
      <w:r w:rsidR="00B111C4">
        <w:rPr>
          <w:rFonts w:asciiTheme="majorBidi" w:hAnsiTheme="majorBidi" w:cstheme="majorBidi"/>
          <w:bCs/>
          <w:sz w:val="24"/>
          <w:szCs w:val="24"/>
          <w:lang w:val="en-AU"/>
        </w:rPr>
        <w:t xml:space="preserve"> This standard will apply to online health services also.</w:t>
      </w:r>
    </w:p>
    <w:p w14:paraId="0CC0944D" w14:textId="1E6F525A" w:rsidR="00B111C4" w:rsidRDefault="00B111C4" w:rsidP="0018286C">
      <w:pPr>
        <w:spacing w:line="360" w:lineRule="auto"/>
        <w:jc w:val="both"/>
        <w:rPr>
          <w:rFonts w:asciiTheme="majorBidi" w:hAnsiTheme="majorBidi" w:cstheme="majorBidi"/>
          <w:bCs/>
          <w:sz w:val="24"/>
          <w:szCs w:val="24"/>
          <w:lang w:val="en-AU"/>
        </w:rPr>
      </w:pPr>
      <w:r>
        <w:rPr>
          <w:rFonts w:asciiTheme="majorBidi" w:hAnsiTheme="majorBidi" w:cstheme="majorBidi"/>
          <w:bCs/>
          <w:sz w:val="24"/>
          <w:szCs w:val="24"/>
          <w:lang w:val="en-AU"/>
        </w:rPr>
        <w:t xml:space="preserve">In sum, online health </w:t>
      </w:r>
      <w:r w:rsidR="004366B4">
        <w:rPr>
          <w:rFonts w:asciiTheme="majorBidi" w:hAnsiTheme="majorBidi" w:cstheme="majorBidi"/>
          <w:bCs/>
          <w:sz w:val="24"/>
          <w:szCs w:val="24"/>
          <w:lang w:val="en-AU"/>
        </w:rPr>
        <w:t xml:space="preserve">consultancy </w:t>
      </w:r>
      <w:r>
        <w:rPr>
          <w:rFonts w:asciiTheme="majorBidi" w:hAnsiTheme="majorBidi" w:cstheme="majorBidi"/>
          <w:bCs/>
          <w:sz w:val="24"/>
          <w:szCs w:val="24"/>
          <w:lang w:val="en-AU"/>
        </w:rPr>
        <w:t>services are al</w:t>
      </w:r>
      <w:r w:rsidR="004366B4">
        <w:rPr>
          <w:rFonts w:asciiTheme="majorBidi" w:hAnsiTheme="majorBidi" w:cstheme="majorBidi"/>
          <w:bCs/>
          <w:sz w:val="24"/>
          <w:szCs w:val="24"/>
          <w:lang w:val="en-AU"/>
        </w:rPr>
        <w:t>lowed in limited circumstances, meaning they must remain a complementary service.</w:t>
      </w:r>
    </w:p>
    <w:sectPr w:rsidR="00B111C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9DF3A3" w14:textId="77777777" w:rsidR="00FA19D5" w:rsidRDefault="00FA19D5" w:rsidP="000B0C22">
      <w:pPr>
        <w:spacing w:after="0" w:line="240" w:lineRule="auto"/>
      </w:pPr>
      <w:r>
        <w:separator/>
      </w:r>
    </w:p>
  </w:endnote>
  <w:endnote w:type="continuationSeparator" w:id="0">
    <w:p w14:paraId="6A57E336" w14:textId="77777777" w:rsidR="00FA19D5" w:rsidRDefault="00FA19D5" w:rsidP="000B0C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6C9543" w14:textId="77777777" w:rsidR="00FA19D5" w:rsidRDefault="00FA19D5" w:rsidP="000B0C22">
      <w:pPr>
        <w:spacing w:after="0" w:line="240" w:lineRule="auto"/>
      </w:pPr>
      <w:r>
        <w:separator/>
      </w:r>
    </w:p>
  </w:footnote>
  <w:footnote w:type="continuationSeparator" w:id="0">
    <w:p w14:paraId="529E7CFB" w14:textId="77777777" w:rsidR="00FA19D5" w:rsidRDefault="00FA19D5" w:rsidP="000B0C22">
      <w:pPr>
        <w:spacing w:after="0" w:line="240" w:lineRule="auto"/>
      </w:pPr>
      <w:r>
        <w:continuationSeparator/>
      </w:r>
    </w:p>
  </w:footnote>
  <w:footnote w:id="1">
    <w:p w14:paraId="16924CA3" w14:textId="6BC8ADCD" w:rsidR="00E46A54" w:rsidRPr="00E46A54" w:rsidRDefault="00E46A54" w:rsidP="00E46A54">
      <w:pPr>
        <w:pStyle w:val="Funotentext"/>
        <w:rPr>
          <w:lang w:val="de-CH"/>
        </w:rPr>
      </w:pPr>
      <w:r>
        <w:rPr>
          <w:rStyle w:val="Funotenzeichen"/>
        </w:rPr>
        <w:footnoteRef/>
      </w:r>
      <w:r w:rsidRPr="00E46A54">
        <w:rPr>
          <w:lang w:val="de-CH"/>
        </w:rPr>
        <w:t xml:space="preserve"> </w:t>
      </w:r>
      <w:hyperlink r:id="rId1" w:history="1">
        <w:r w:rsidRPr="00B111C4">
          <w:rPr>
            <w:rStyle w:val="Hyperlink"/>
            <w:lang w:val="de-CH"/>
          </w:rPr>
          <w:t xml:space="preserve">Bundesgesetz über die universitären </w:t>
        </w:r>
        <w:proofErr w:type="spellStart"/>
        <w:r w:rsidRPr="00B111C4">
          <w:rPr>
            <w:rStyle w:val="Hyperlink"/>
            <w:lang w:val="de-CH"/>
          </w:rPr>
          <w:t>Medizinalberufe</w:t>
        </w:r>
        <w:proofErr w:type="spellEnd"/>
      </w:hyperlink>
      <w:r w:rsidRPr="00E46A54">
        <w:rPr>
          <w:lang w:val="de-CH"/>
        </w:rPr>
        <w:t xml:space="preserve"> (</w:t>
      </w:r>
      <w:proofErr w:type="spellStart"/>
      <w:r w:rsidRPr="00E46A54">
        <w:rPr>
          <w:lang w:val="de-CH"/>
        </w:rPr>
        <w:t>Medizinalberufegesetz</w:t>
      </w:r>
      <w:proofErr w:type="spellEnd"/>
      <w:r w:rsidRPr="00E46A54">
        <w:rPr>
          <w:lang w:val="de-CH"/>
        </w:rPr>
        <w:t xml:space="preserve">, </w:t>
      </w:r>
      <w:proofErr w:type="spellStart"/>
      <w:r w:rsidRPr="00E46A54">
        <w:rPr>
          <w:lang w:val="de-CH"/>
        </w:rPr>
        <w:t>MedBG</w:t>
      </w:r>
      <w:proofErr w:type="spellEnd"/>
      <w:r w:rsidRPr="00E46A54">
        <w:rPr>
          <w:lang w:val="de-CH"/>
        </w:rPr>
        <w:t>)</w:t>
      </w:r>
      <w:r>
        <w:rPr>
          <w:lang w:val="de-CH"/>
        </w:rPr>
        <w:t>, SR 811.11.</w:t>
      </w:r>
    </w:p>
  </w:footnote>
  <w:footnote w:id="2">
    <w:p w14:paraId="3873478B" w14:textId="2F3E0099" w:rsidR="007C6EBE" w:rsidRPr="007C6EBE" w:rsidRDefault="007C6EBE">
      <w:pPr>
        <w:pStyle w:val="Funotentext"/>
        <w:rPr>
          <w:lang w:val="de-CH"/>
        </w:rPr>
      </w:pPr>
      <w:r>
        <w:rPr>
          <w:rStyle w:val="Funotenzeichen"/>
        </w:rPr>
        <w:footnoteRef/>
      </w:r>
      <w:r w:rsidRPr="007C6EBE">
        <w:rPr>
          <w:lang w:val="de-CH"/>
        </w:rPr>
        <w:t xml:space="preserve"> </w:t>
      </w:r>
      <w:hyperlink r:id="rId2" w:history="1">
        <w:r w:rsidRPr="00B111C4">
          <w:rPr>
            <w:rStyle w:val="Hyperlink"/>
            <w:lang w:val="de-CH"/>
          </w:rPr>
          <w:t>Gesundheitsgesetz des Kantons Zürich</w:t>
        </w:r>
      </w:hyperlink>
      <w:r w:rsidRPr="007C6EBE">
        <w:rPr>
          <w:lang w:val="de-CH"/>
        </w:rPr>
        <w:t xml:space="preserve"> </w:t>
      </w:r>
      <w:r>
        <w:rPr>
          <w:lang w:val="de-CH"/>
        </w:rPr>
        <w:t>(</w:t>
      </w:r>
      <w:proofErr w:type="spellStart"/>
      <w:r w:rsidRPr="007C6EBE">
        <w:rPr>
          <w:lang w:val="de-CH"/>
        </w:rPr>
        <w:t>GesG</w:t>
      </w:r>
      <w:proofErr w:type="spellEnd"/>
      <w:r w:rsidRPr="007C6EBE">
        <w:rPr>
          <w:lang w:val="de-CH"/>
        </w:rPr>
        <w:t>)</w:t>
      </w:r>
      <w:r>
        <w:rPr>
          <w:lang w:val="de-CH"/>
        </w:rPr>
        <w:t>, LS. 810.1.</w:t>
      </w:r>
    </w:p>
  </w:footnote>
  <w:footnote w:id="3">
    <w:p w14:paraId="12025059" w14:textId="66E16260" w:rsidR="00602282" w:rsidRPr="00602282" w:rsidRDefault="00602282">
      <w:pPr>
        <w:pStyle w:val="Funotentext"/>
        <w:rPr>
          <w:lang w:val="de-CH"/>
        </w:rPr>
      </w:pPr>
      <w:r>
        <w:rPr>
          <w:rStyle w:val="Funotenzeichen"/>
        </w:rPr>
        <w:footnoteRef/>
      </w:r>
      <w:r w:rsidRPr="00602282">
        <w:rPr>
          <w:lang w:val="de-CH"/>
        </w:rPr>
        <w:t xml:space="preserve"> </w:t>
      </w:r>
      <w:hyperlink r:id="rId3" w:history="1">
        <w:r w:rsidRPr="00602282">
          <w:rPr>
            <w:rStyle w:val="Hyperlink"/>
            <w:lang w:val="de-CH"/>
          </w:rPr>
          <w:t>Bundesgesetz betreffend die Ergänzung des Schweizerischen Zivilgesetzbuches (Fünfter Teil: Obligationenrecht)</w:t>
        </w:r>
      </w:hyperlink>
      <w:r>
        <w:rPr>
          <w:lang w:val="de-CH"/>
        </w:rPr>
        <w:t>, SR 220.</w:t>
      </w:r>
    </w:p>
  </w:footnote>
  <w:footnote w:id="4">
    <w:p w14:paraId="7D54E55C" w14:textId="5374CA10" w:rsidR="00B111C4" w:rsidRPr="00B111C4" w:rsidRDefault="00B111C4">
      <w:pPr>
        <w:pStyle w:val="Funotentext"/>
        <w:rPr>
          <w:lang w:val="de-CH"/>
        </w:rPr>
      </w:pPr>
      <w:r>
        <w:rPr>
          <w:rStyle w:val="Funotenzeichen"/>
        </w:rPr>
        <w:footnoteRef/>
      </w:r>
      <w:r>
        <w:t xml:space="preserve"> </w:t>
      </w:r>
      <w:hyperlink r:id="rId4" w:history="1">
        <w:proofErr w:type="gramStart"/>
        <w:r w:rsidRPr="00B111C4">
          <w:rPr>
            <w:rStyle w:val="Hyperlink"/>
          </w:rPr>
          <w:t>BGE 116 II 519</w:t>
        </w:r>
      </w:hyperlink>
      <w:r>
        <w:t xml:space="preserve"> </w:t>
      </w:r>
      <w:proofErr w:type="spellStart"/>
      <w:r>
        <w:t>consid</w:t>
      </w:r>
      <w:proofErr w:type="spellEnd"/>
      <w:r>
        <w:t>.</w:t>
      </w:r>
      <w:proofErr w:type="gramEnd"/>
      <w:r>
        <w:t> 3.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A30B0"/>
    <w:multiLevelType w:val="hybridMultilevel"/>
    <w:tmpl w:val="FB0CB410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32A1413"/>
    <w:multiLevelType w:val="hybridMultilevel"/>
    <w:tmpl w:val="4DE23324"/>
    <w:lvl w:ilvl="0" w:tplc="251647DC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1A05DD"/>
    <w:multiLevelType w:val="hybridMultilevel"/>
    <w:tmpl w:val="ADE227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7916823"/>
    <w:multiLevelType w:val="hybridMultilevel"/>
    <w:tmpl w:val="79AE652E"/>
    <w:lvl w:ilvl="0" w:tplc="CC4C12D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proofState w:spelling="clean" w:grammar="clean"/>
  <w:doNotTrackMov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625"/>
    <w:rsid w:val="00000558"/>
    <w:rsid w:val="00033086"/>
    <w:rsid w:val="000B0C22"/>
    <w:rsid w:val="000D14EA"/>
    <w:rsid w:val="001011C3"/>
    <w:rsid w:val="001411D5"/>
    <w:rsid w:val="0018286C"/>
    <w:rsid w:val="001843E6"/>
    <w:rsid w:val="001B30E4"/>
    <w:rsid w:val="001B386F"/>
    <w:rsid w:val="0022265F"/>
    <w:rsid w:val="002314C8"/>
    <w:rsid w:val="002635F3"/>
    <w:rsid w:val="0026429C"/>
    <w:rsid w:val="00267DA9"/>
    <w:rsid w:val="00281EF1"/>
    <w:rsid w:val="00297800"/>
    <w:rsid w:val="002A3F9C"/>
    <w:rsid w:val="003065E4"/>
    <w:rsid w:val="003134E6"/>
    <w:rsid w:val="00316AEC"/>
    <w:rsid w:val="00376BB9"/>
    <w:rsid w:val="003E2A47"/>
    <w:rsid w:val="003F3A1D"/>
    <w:rsid w:val="003F6814"/>
    <w:rsid w:val="004149FE"/>
    <w:rsid w:val="00417994"/>
    <w:rsid w:val="00433762"/>
    <w:rsid w:val="004366B4"/>
    <w:rsid w:val="00460253"/>
    <w:rsid w:val="004847C5"/>
    <w:rsid w:val="0048622D"/>
    <w:rsid w:val="004D2894"/>
    <w:rsid w:val="005237AD"/>
    <w:rsid w:val="005328FE"/>
    <w:rsid w:val="00563604"/>
    <w:rsid w:val="00594BEC"/>
    <w:rsid w:val="005B2B14"/>
    <w:rsid w:val="005B4DF9"/>
    <w:rsid w:val="005D0F69"/>
    <w:rsid w:val="005D2B34"/>
    <w:rsid w:val="00602282"/>
    <w:rsid w:val="006A7835"/>
    <w:rsid w:val="006B3FD4"/>
    <w:rsid w:val="006E0DE8"/>
    <w:rsid w:val="007331FE"/>
    <w:rsid w:val="00760406"/>
    <w:rsid w:val="00775233"/>
    <w:rsid w:val="00792512"/>
    <w:rsid w:val="007B3310"/>
    <w:rsid w:val="007B6549"/>
    <w:rsid w:val="007B7476"/>
    <w:rsid w:val="007C054B"/>
    <w:rsid w:val="007C6EBE"/>
    <w:rsid w:val="007D4359"/>
    <w:rsid w:val="007E78A1"/>
    <w:rsid w:val="008016E6"/>
    <w:rsid w:val="00807B1F"/>
    <w:rsid w:val="00824F5D"/>
    <w:rsid w:val="00826E57"/>
    <w:rsid w:val="008321C2"/>
    <w:rsid w:val="00845DF6"/>
    <w:rsid w:val="008941E4"/>
    <w:rsid w:val="008C7562"/>
    <w:rsid w:val="008D5C9D"/>
    <w:rsid w:val="008F0DE6"/>
    <w:rsid w:val="009323A1"/>
    <w:rsid w:val="00946B1F"/>
    <w:rsid w:val="009C3A04"/>
    <w:rsid w:val="009C54C2"/>
    <w:rsid w:val="009D6124"/>
    <w:rsid w:val="00A05176"/>
    <w:rsid w:val="00A24281"/>
    <w:rsid w:val="00A81189"/>
    <w:rsid w:val="00A97E84"/>
    <w:rsid w:val="00AB5035"/>
    <w:rsid w:val="00B111C4"/>
    <w:rsid w:val="00B37575"/>
    <w:rsid w:val="00B478B5"/>
    <w:rsid w:val="00B54B4C"/>
    <w:rsid w:val="00B754AB"/>
    <w:rsid w:val="00B757B9"/>
    <w:rsid w:val="00B9147D"/>
    <w:rsid w:val="00BC1041"/>
    <w:rsid w:val="00C937C0"/>
    <w:rsid w:val="00CB573A"/>
    <w:rsid w:val="00D00625"/>
    <w:rsid w:val="00D164A2"/>
    <w:rsid w:val="00D50FBF"/>
    <w:rsid w:val="00D854DD"/>
    <w:rsid w:val="00D87E9D"/>
    <w:rsid w:val="00DB7A4D"/>
    <w:rsid w:val="00DF6A99"/>
    <w:rsid w:val="00E06714"/>
    <w:rsid w:val="00E1055E"/>
    <w:rsid w:val="00E207EC"/>
    <w:rsid w:val="00E3379B"/>
    <w:rsid w:val="00E46A54"/>
    <w:rsid w:val="00EC5DD8"/>
    <w:rsid w:val="00ED538F"/>
    <w:rsid w:val="00ED79F3"/>
    <w:rsid w:val="00F17F22"/>
    <w:rsid w:val="00F3694F"/>
    <w:rsid w:val="00F6513F"/>
    <w:rsid w:val="00FA19D5"/>
    <w:rsid w:val="00FA7A65"/>
    <w:rsid w:val="00FD22A7"/>
    <w:rsid w:val="00FE4372"/>
    <w:rsid w:val="00FE539A"/>
    <w:rsid w:val="00FF0548"/>
    <w:rsid w:val="00FF4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0858863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847C5"/>
    <w:rPr>
      <w:rFonts w:eastAsiaTheme="minorEastAsia"/>
      <w:lang w:val="en-US" w:eastAsia="zh-TW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D00625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D0062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0062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00625"/>
    <w:rPr>
      <w:rFonts w:eastAsiaTheme="minorEastAsia"/>
      <w:sz w:val="20"/>
      <w:szCs w:val="20"/>
      <w:lang w:val="en-US" w:eastAsia="zh-TW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006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00625"/>
    <w:rPr>
      <w:rFonts w:ascii="Segoe UI" w:eastAsiaTheme="minorEastAsia" w:hAnsi="Segoe UI" w:cs="Segoe UI"/>
      <w:sz w:val="18"/>
      <w:szCs w:val="18"/>
      <w:lang w:val="en-US" w:eastAsia="zh-TW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847C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847C5"/>
    <w:rPr>
      <w:rFonts w:eastAsiaTheme="minorEastAsia"/>
      <w:b/>
      <w:bCs/>
      <w:sz w:val="20"/>
      <w:szCs w:val="20"/>
      <w:lang w:val="en-US" w:eastAsia="zh-TW"/>
    </w:rPr>
  </w:style>
  <w:style w:type="paragraph" w:styleId="Kopfzeile">
    <w:name w:val="header"/>
    <w:basedOn w:val="Standard"/>
    <w:link w:val="KopfzeileZchn"/>
    <w:uiPriority w:val="99"/>
    <w:unhideWhenUsed/>
    <w:rsid w:val="000B0C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B0C22"/>
    <w:rPr>
      <w:rFonts w:eastAsiaTheme="minorEastAsia"/>
      <w:lang w:val="en-US" w:eastAsia="zh-TW"/>
    </w:rPr>
  </w:style>
  <w:style w:type="paragraph" w:styleId="Fuzeile">
    <w:name w:val="footer"/>
    <w:basedOn w:val="Standard"/>
    <w:link w:val="FuzeileZchn"/>
    <w:uiPriority w:val="99"/>
    <w:unhideWhenUsed/>
    <w:rsid w:val="000B0C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B0C22"/>
    <w:rPr>
      <w:rFonts w:eastAsiaTheme="minorEastAsia"/>
      <w:lang w:val="en-US" w:eastAsia="zh-TW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E46A54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E46A54"/>
    <w:rPr>
      <w:rFonts w:eastAsiaTheme="minorEastAsia"/>
      <w:sz w:val="20"/>
      <w:szCs w:val="20"/>
      <w:lang w:val="en-US" w:eastAsia="zh-TW"/>
    </w:rPr>
  </w:style>
  <w:style w:type="character" w:styleId="Funotenzeichen">
    <w:name w:val="footnote reference"/>
    <w:basedOn w:val="Absatz-Standardschriftart"/>
    <w:uiPriority w:val="99"/>
    <w:semiHidden/>
    <w:unhideWhenUsed/>
    <w:rsid w:val="00E46A54"/>
    <w:rPr>
      <w:vertAlign w:val="superscript"/>
    </w:rPr>
  </w:style>
  <w:style w:type="character" w:styleId="Hyperlink">
    <w:name w:val="Hyperlink"/>
    <w:basedOn w:val="Absatz-Standardschriftart"/>
    <w:uiPriority w:val="99"/>
    <w:unhideWhenUsed/>
    <w:rsid w:val="00B111C4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847C5"/>
    <w:rPr>
      <w:rFonts w:eastAsiaTheme="minorEastAsia"/>
      <w:lang w:val="en-US" w:eastAsia="zh-TW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D00625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D0062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0062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00625"/>
    <w:rPr>
      <w:rFonts w:eastAsiaTheme="minorEastAsia"/>
      <w:sz w:val="20"/>
      <w:szCs w:val="20"/>
      <w:lang w:val="en-US" w:eastAsia="zh-TW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006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00625"/>
    <w:rPr>
      <w:rFonts w:ascii="Segoe UI" w:eastAsiaTheme="minorEastAsia" w:hAnsi="Segoe UI" w:cs="Segoe UI"/>
      <w:sz w:val="18"/>
      <w:szCs w:val="18"/>
      <w:lang w:val="en-US" w:eastAsia="zh-TW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847C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847C5"/>
    <w:rPr>
      <w:rFonts w:eastAsiaTheme="minorEastAsia"/>
      <w:b/>
      <w:bCs/>
      <w:sz w:val="20"/>
      <w:szCs w:val="20"/>
      <w:lang w:val="en-US" w:eastAsia="zh-TW"/>
    </w:rPr>
  </w:style>
  <w:style w:type="paragraph" w:styleId="Kopfzeile">
    <w:name w:val="header"/>
    <w:basedOn w:val="Standard"/>
    <w:link w:val="KopfzeileZchn"/>
    <w:uiPriority w:val="99"/>
    <w:unhideWhenUsed/>
    <w:rsid w:val="000B0C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B0C22"/>
    <w:rPr>
      <w:rFonts w:eastAsiaTheme="minorEastAsia"/>
      <w:lang w:val="en-US" w:eastAsia="zh-TW"/>
    </w:rPr>
  </w:style>
  <w:style w:type="paragraph" w:styleId="Fuzeile">
    <w:name w:val="footer"/>
    <w:basedOn w:val="Standard"/>
    <w:link w:val="FuzeileZchn"/>
    <w:uiPriority w:val="99"/>
    <w:unhideWhenUsed/>
    <w:rsid w:val="000B0C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B0C22"/>
    <w:rPr>
      <w:rFonts w:eastAsiaTheme="minorEastAsia"/>
      <w:lang w:val="en-US" w:eastAsia="zh-TW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E46A54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E46A54"/>
    <w:rPr>
      <w:rFonts w:eastAsiaTheme="minorEastAsia"/>
      <w:sz w:val="20"/>
      <w:szCs w:val="20"/>
      <w:lang w:val="en-US" w:eastAsia="zh-TW"/>
    </w:rPr>
  </w:style>
  <w:style w:type="character" w:styleId="Funotenzeichen">
    <w:name w:val="footnote reference"/>
    <w:basedOn w:val="Absatz-Standardschriftart"/>
    <w:uiPriority w:val="99"/>
    <w:semiHidden/>
    <w:unhideWhenUsed/>
    <w:rsid w:val="00E46A54"/>
    <w:rPr>
      <w:vertAlign w:val="superscript"/>
    </w:rPr>
  </w:style>
  <w:style w:type="character" w:styleId="Hyperlink">
    <w:name w:val="Hyperlink"/>
    <w:basedOn w:val="Absatz-Standardschriftart"/>
    <w:uiPriority w:val="99"/>
    <w:unhideWhenUsed/>
    <w:rsid w:val="00B111C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754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1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admin.ch/opc/de/classified-compilation/19110009/index.html" TargetMode="External"/><Relationship Id="rId2" Type="http://schemas.openxmlformats.org/officeDocument/2006/relationships/hyperlink" Target="https://www.zh.ch/internet/de/rechtliche_grundlagen/gesetze/erlass.html?Open&amp;Ordnr=810.1" TargetMode="External"/><Relationship Id="rId1" Type="http://schemas.openxmlformats.org/officeDocument/2006/relationships/hyperlink" Target="https://www.admin.ch/opc/de/classified-compilation/20040265/index.html" TargetMode="External"/><Relationship Id="rId4" Type="http://schemas.openxmlformats.org/officeDocument/2006/relationships/hyperlink" Target="http://relevancy.bger.ch/php/clir/http/index.php?highlight_docid=atf%3A%2F%2F116-II-519%3Ade&amp;lang=de&amp;type=show_documen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7BE37-CF80-44ED-8213-11B027D93E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304</Words>
  <Characters>1920</Characters>
  <Application>Microsoft Office Word</Application>
  <DocSecurity>0</DocSecurity>
  <Lines>16</Lines>
  <Paragraphs>4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LinksUpToDate>false</LinksUpToDate>
  <CharactersWithSpaces>2220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2018-05-29T14:56:00Z</dcterms:created>
  <dcterms:modified xsi:type="dcterms:W3CDTF">2018-05-29T14:56:00Z</dcterms:modified>
</cp:coreProperties>
</file>